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393700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413385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2"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color w:val="auto"/>
        </w:rPr>
        <w:t>_________________________</w:t>
      </w:r>
    </w:p>
    <w:p>
      <w:pPr>
        <w:spacing w:after="0" w:line="1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38"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color w:val="auto"/>
        </w:rPr>
        <w:t>_________________________</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79" w:lineRule="exact"/>
        <w:rPr>
          <w:sz w:val="24"/>
          <w:szCs w:val="24"/>
          <w:color w:val="auto"/>
        </w:rPr>
      </w:pPr>
    </w:p>
    <w:p>
      <w:pPr>
        <w:ind w:left="4320" w:right="4040" w:hanging="4301"/>
        <w:spacing w:after="0" w:line="419" w:lineRule="auto"/>
        <w:tabs>
          <w:tab w:leader="none" w:pos="358"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2025</w:t>
      </w:r>
    </w:p>
    <w:p>
      <w:pPr>
        <w:ind w:left="5540"/>
        <w:spacing w:after="0"/>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OR</w:t>
      </w:r>
    </w:p>
    <w:p>
      <w:pPr>
        <w:spacing w:after="0" w:line="54" w:lineRule="exact"/>
        <w:rPr>
          <w:sz w:val="24"/>
          <w:szCs w:val="24"/>
          <w:color w:val="auto"/>
        </w:rPr>
      </w:pPr>
    </w:p>
    <w:p>
      <w:pPr>
        <w:ind w:left="340" w:hanging="321"/>
        <w:spacing w:after="0"/>
        <w:tabs>
          <w:tab w:leader="none" w:pos="340" w:val="left"/>
        </w:tabs>
        <w:numPr>
          <w:ilvl w:val="0"/>
          <w:numId w:val="2"/>
        </w:numPr>
        <w:rPr>
          <w:rFonts w:ascii="Wingdings" w:cs="Wingdings" w:eastAsia="Wingdings" w:hAnsi="Wingdings"/>
          <w:sz w:val="28"/>
          <w:szCs w:val="28"/>
          <w:b w:val="1"/>
          <w:bCs w:val="1"/>
          <w:color w:val="auto"/>
          <w:highlight w:val="black"/>
          <w:vertAlign w:val="subscript"/>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001-43077</w:t>
      </w:r>
    </w:p>
    <w:p>
      <w:pPr>
        <w:spacing w:after="0" w:line="138"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color w:val="auto"/>
        </w:rPr>
        <w:t>_________________________</w:t>
      </w:r>
    </w:p>
    <w:p>
      <w:pPr>
        <w:spacing w:after="0" w:line="1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Public Policy Holding Company, Inc.</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6"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color w:val="auto"/>
        </w:rPr>
        <w:t>_________________________</w:t>
      </w:r>
    </w:p>
    <w:p>
      <w:pPr>
        <w:spacing w:after="0" w:line="33"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3980" w:type="dxa"/>
            <w:vAlign w:val="bottom"/>
          </w:tcPr>
          <w:p>
            <w:pPr>
              <w:jc w:val="center"/>
              <w:ind w:left="160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0" w:type="dxa"/>
            <w:vAlign w:val="bottom"/>
          </w:tcPr>
          <w:p>
            <w:pPr>
              <w:jc w:val="right"/>
              <w:ind w:right="2429"/>
              <w:spacing w:after="0"/>
              <w:rPr>
                <w:sz w:val="20"/>
                <w:szCs w:val="20"/>
                <w:color w:val="auto"/>
              </w:rPr>
            </w:pPr>
            <w:r>
              <w:rPr>
                <w:rFonts w:ascii="Times New Roman" w:cs="Times New Roman" w:eastAsia="Times New Roman" w:hAnsi="Times New Roman"/>
                <w:sz w:val="14"/>
                <w:szCs w:val="14"/>
                <w:b w:val="1"/>
                <w:bCs w:val="1"/>
                <w:color w:val="auto"/>
              </w:rPr>
              <w:t>87-3557229</w:t>
            </w:r>
          </w:p>
        </w:tc>
      </w:tr>
      <w:tr>
        <w:trPr>
          <w:trHeight w:val="198"/>
        </w:trPr>
        <w:tc>
          <w:tcPr>
            <w:tcW w:w="3980" w:type="dxa"/>
            <w:vAlign w:val="bottom"/>
          </w:tcPr>
          <w:p>
            <w:pPr>
              <w:jc w:val="center"/>
              <w:ind w:left="1589"/>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0" w:type="dxa"/>
            <w:vAlign w:val="bottom"/>
          </w:tcPr>
          <w:p>
            <w:pPr>
              <w:jc w:val="center"/>
              <w:ind w:right="1809"/>
              <w:spacing w:after="0"/>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3980" w:type="dxa"/>
            <w:vAlign w:val="bottom"/>
          </w:tcPr>
          <w:p>
            <w:pPr>
              <w:jc w:val="center"/>
              <w:ind w:left="160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0" w:type="dxa"/>
            <w:vAlign w:val="bottom"/>
          </w:tcPr>
          <w:p>
            <w:pPr>
              <w:jc w:val="center"/>
              <w:ind w:right="1789"/>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55"/>
        </w:trPr>
        <w:tc>
          <w:tcPr>
            <w:tcW w:w="7500" w:type="dxa"/>
            <w:vAlign w:val="bottom"/>
            <w:gridSpan w:val="4"/>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800 North Capitol Street NW, Washington, DC</w:t>
            </w:r>
          </w:p>
        </w:tc>
        <w:tc>
          <w:tcPr>
            <w:tcW w:w="3800" w:type="dxa"/>
            <w:vAlign w:val="bottom"/>
          </w:tcPr>
          <w:p>
            <w:pPr>
              <w:jc w:val="right"/>
              <w:ind w:right="2589"/>
              <w:spacing w:after="0"/>
              <w:rPr>
                <w:sz w:val="20"/>
                <w:szCs w:val="20"/>
                <w:color w:val="auto"/>
              </w:rPr>
            </w:pPr>
            <w:r>
              <w:rPr>
                <w:rFonts w:ascii="Times New Roman" w:cs="Times New Roman" w:eastAsia="Times New Roman" w:hAnsi="Times New Roman"/>
                <w:sz w:val="14"/>
                <w:szCs w:val="14"/>
                <w:b w:val="1"/>
                <w:bCs w:val="1"/>
                <w:color w:val="auto"/>
              </w:rPr>
              <w:t>20002</w:t>
            </w:r>
          </w:p>
        </w:tc>
      </w:tr>
      <w:tr>
        <w:trPr>
          <w:trHeight w:val="212"/>
        </w:trPr>
        <w:tc>
          <w:tcPr>
            <w:tcW w:w="3980" w:type="dxa"/>
            <w:vAlign w:val="bottom"/>
          </w:tcPr>
          <w:p>
            <w:pPr>
              <w:jc w:val="center"/>
              <w:ind w:left="158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0" w:type="dxa"/>
            <w:vAlign w:val="bottom"/>
          </w:tcPr>
          <w:p>
            <w:pPr>
              <w:jc w:val="center"/>
              <w:ind w:right="1789"/>
              <w:spacing w:after="0"/>
              <w:rPr>
                <w:sz w:val="20"/>
                <w:szCs w:val="20"/>
                <w:color w:val="auto"/>
              </w:rPr>
            </w:pPr>
            <w:r>
              <w:rPr>
                <w:rFonts w:ascii="Times New Roman" w:cs="Times New Roman" w:eastAsia="Times New Roman" w:hAnsi="Times New Roman"/>
                <w:sz w:val="14"/>
                <w:szCs w:val="14"/>
                <w:color w:val="auto"/>
              </w:rPr>
              <w:t>(Zip Code)</w:t>
            </w:r>
          </w:p>
        </w:tc>
      </w:tr>
      <w:tr>
        <w:trPr>
          <w:trHeight w:val="251"/>
        </w:trPr>
        <w:tc>
          <w:tcPr>
            <w:tcW w:w="3980" w:type="dxa"/>
            <w:vAlign w:val="bottom"/>
          </w:tcPr>
          <w:p>
            <w:pPr>
              <w:spacing w:after="0"/>
              <w:rPr>
                <w:sz w:val="21"/>
                <w:szCs w:val="21"/>
                <w:color w:val="auto"/>
              </w:rPr>
            </w:pPr>
          </w:p>
        </w:tc>
        <w:tc>
          <w:tcPr>
            <w:tcW w:w="2820" w:type="dxa"/>
            <w:vAlign w:val="bottom"/>
            <w:gridSpan w:val="2"/>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(202) 688-0020</w:t>
            </w:r>
          </w:p>
        </w:tc>
        <w:tc>
          <w:tcPr>
            <w:tcW w:w="700" w:type="dxa"/>
            <w:vAlign w:val="bottom"/>
          </w:tcPr>
          <w:p>
            <w:pPr>
              <w:spacing w:after="0"/>
              <w:rPr>
                <w:sz w:val="21"/>
                <w:szCs w:val="21"/>
                <w:color w:val="auto"/>
              </w:rPr>
            </w:pPr>
          </w:p>
        </w:tc>
        <w:tc>
          <w:tcPr>
            <w:tcW w:w="3800" w:type="dxa"/>
            <w:vAlign w:val="bottom"/>
          </w:tcPr>
          <w:p>
            <w:pPr>
              <w:spacing w:after="0"/>
              <w:rPr>
                <w:sz w:val="21"/>
                <w:szCs w:val="21"/>
                <w:color w:val="auto"/>
              </w:rPr>
            </w:pPr>
          </w:p>
        </w:tc>
      </w:tr>
      <w:tr>
        <w:trPr>
          <w:trHeight w:val="184"/>
        </w:trPr>
        <w:tc>
          <w:tcPr>
            <w:tcW w:w="3980" w:type="dxa"/>
            <w:vAlign w:val="bottom"/>
          </w:tcPr>
          <w:p>
            <w:pPr>
              <w:spacing w:after="0"/>
              <w:rPr>
                <w:sz w:val="16"/>
                <w:szCs w:val="16"/>
                <w:color w:val="auto"/>
              </w:rPr>
            </w:pPr>
          </w:p>
        </w:tc>
        <w:tc>
          <w:tcPr>
            <w:tcW w:w="35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800" w:type="dxa"/>
            <w:vAlign w:val="bottom"/>
          </w:tcPr>
          <w:p>
            <w:pPr>
              <w:spacing w:after="0"/>
              <w:rPr>
                <w:sz w:val="16"/>
                <w:szCs w:val="16"/>
                <w:color w:val="auto"/>
              </w:rPr>
            </w:pPr>
          </w:p>
        </w:tc>
      </w:tr>
      <w:tr>
        <w:trPr>
          <w:trHeight w:val="297"/>
        </w:trPr>
        <w:tc>
          <w:tcPr>
            <w:tcW w:w="3980" w:type="dxa"/>
            <w:vAlign w:val="bottom"/>
          </w:tcPr>
          <w:p>
            <w:pPr>
              <w:spacing w:after="0"/>
              <w:rPr>
                <w:sz w:val="24"/>
                <w:szCs w:val="24"/>
                <w:color w:val="auto"/>
              </w:rPr>
            </w:pPr>
          </w:p>
        </w:tc>
        <w:tc>
          <w:tcPr>
            <w:tcW w:w="35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800" w:type="dxa"/>
            <w:vAlign w:val="bottom"/>
          </w:tcPr>
          <w:p>
            <w:pPr>
              <w:spacing w:after="0"/>
              <w:rPr>
                <w:sz w:val="24"/>
                <w:szCs w:val="24"/>
                <w:color w:val="auto"/>
              </w:rPr>
            </w:pPr>
          </w:p>
        </w:tc>
      </w:tr>
      <w:tr>
        <w:trPr>
          <w:trHeight w:val="22"/>
        </w:trPr>
        <w:tc>
          <w:tcPr>
            <w:tcW w:w="3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r>
        <w:trPr>
          <w:trHeight w:val="181"/>
        </w:trPr>
        <w:tc>
          <w:tcPr>
            <w:tcW w:w="3980" w:type="dxa"/>
            <w:vAlign w:val="bottom"/>
            <w:tcBorders>
              <w:left w:val="single" w:sz="8" w:color="auto"/>
            </w:tcBorders>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6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700" w:type="dxa"/>
            <w:vAlign w:val="bottom"/>
          </w:tcPr>
          <w:p>
            <w:pPr>
              <w:spacing w:after="0"/>
              <w:rPr>
                <w:sz w:val="15"/>
                <w:szCs w:val="15"/>
                <w:color w:val="auto"/>
              </w:rPr>
            </w:pPr>
          </w:p>
        </w:tc>
        <w:tc>
          <w:tcPr>
            <w:tcW w:w="3800" w:type="dxa"/>
            <w:vAlign w:val="bottom"/>
            <w:tcBorders>
              <w:right w:val="single" w:sz="8" w:color="auto"/>
            </w:tcBorders>
          </w:tcPr>
          <w:p>
            <w:pPr>
              <w:jc w:val="center"/>
              <w:ind w:right="66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
        </w:trPr>
        <w:tc>
          <w:tcPr>
            <w:tcW w:w="3980" w:type="dxa"/>
            <w:vAlign w:val="bottom"/>
            <w:tcBorders>
              <w:left w:val="single" w:sz="8" w:color="auto"/>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right w:val="single" w:sz="8" w:color="auto"/>
            </w:tcBorders>
          </w:tcPr>
          <w:p>
            <w:pPr>
              <w:spacing w:after="0" w:line="20" w:lineRule="exact"/>
              <w:rPr>
                <w:sz w:val="1"/>
                <w:szCs w:val="1"/>
                <w:color w:val="auto"/>
              </w:rPr>
            </w:pPr>
          </w:p>
        </w:tc>
      </w:tr>
      <w:tr>
        <w:trPr>
          <w:trHeight w:val="203"/>
        </w:trPr>
        <w:tc>
          <w:tcPr>
            <w:tcW w:w="3980" w:type="dxa"/>
            <w:vAlign w:val="bottom"/>
            <w:tcBorders>
              <w:left w:val="single" w:sz="8" w:color="auto"/>
              <w:bottom w:val="single" w:sz="8" w:color="auto"/>
            </w:tcBorders>
          </w:tcPr>
          <w:p>
            <w:pPr>
              <w:jc w:val="center"/>
              <w:ind w:left="489"/>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56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PPHC</w:t>
            </w:r>
          </w:p>
        </w:tc>
        <w:tc>
          <w:tcPr>
            <w:tcW w:w="700" w:type="dxa"/>
            <w:vAlign w:val="bottom"/>
            <w:tcBorders>
              <w:bottom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jc w:val="center"/>
              <w:ind w:right="669"/>
              <w:spacing w:after="0"/>
              <w:rPr>
                <w:sz w:val="20"/>
                <w:szCs w:val="20"/>
                <w:color w:val="auto"/>
              </w:rPr>
            </w:pPr>
            <w:r>
              <w:rPr>
                <w:rFonts w:ascii="Times New Roman" w:cs="Times New Roman" w:eastAsia="Times New Roman" w:hAnsi="Times New Roman"/>
                <w:sz w:val="14"/>
                <w:szCs w:val="14"/>
                <w:color w:val="auto"/>
                <w:w w:val="99"/>
              </w:rPr>
              <w:t>NASDAQ</w:t>
            </w:r>
          </w:p>
        </w:tc>
      </w:tr>
      <w:tr>
        <w:trPr>
          <w:trHeight w:val="214"/>
        </w:trPr>
        <w:tc>
          <w:tcPr>
            <w:tcW w:w="3980" w:type="dxa"/>
            <w:vAlign w:val="bottom"/>
            <w:tcBorders>
              <w:left w:val="single" w:sz="8" w:color="auto"/>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spacing w:after="0"/>
              <w:rPr>
                <w:sz w:val="18"/>
                <w:szCs w:val="18"/>
                <w:color w:val="auto"/>
              </w:rPr>
            </w:pPr>
          </w:p>
        </w:tc>
      </w:tr>
      <w:tr>
        <w:trPr>
          <w:trHeight w:val="213"/>
        </w:trPr>
        <w:tc>
          <w:tcPr>
            <w:tcW w:w="3980" w:type="dxa"/>
            <w:vAlign w:val="bottom"/>
            <w:tcBorders>
              <w:left w:val="single" w:sz="8" w:color="auto"/>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spacing w:after="0"/>
              <w:rPr>
                <w:sz w:val="18"/>
                <w:szCs w:val="18"/>
                <w:color w:val="auto"/>
              </w:rPr>
            </w:pPr>
          </w:p>
        </w:tc>
      </w:tr>
    </w:tbl>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3"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200" w:lineRule="exact"/>
        <w:rPr>
          <w:sz w:val="24"/>
          <w:szCs w:val="24"/>
          <w:color w:val="auto"/>
        </w:rPr>
      </w:pPr>
    </w:p>
    <w:p>
      <w:pPr>
        <w:ind w:left="10520"/>
        <w:spacing w:after="0"/>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200" w:lineRule="exact"/>
        <w:rPr>
          <w:sz w:val="24"/>
          <w:szCs w:val="24"/>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2" w:lineRule="exact"/>
        <w:rPr>
          <w:sz w:val="24"/>
          <w:szCs w:val="24"/>
          <w:color w:val="auto"/>
        </w:rPr>
      </w:pPr>
    </w:p>
    <w:p>
      <w:pPr>
        <w:ind w:left="10520"/>
        <w:spacing w:after="0"/>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36" w:lineRule="exact"/>
        <w:rPr>
          <w:sz w:val="24"/>
          <w:szCs w:val="24"/>
          <w:color w:val="auto"/>
        </w:rPr>
      </w:pPr>
    </w:p>
    <w:p>
      <w:pPr>
        <w:ind w:right="300"/>
        <w:spacing w:after="0" w:line="263"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10520"/>
        <w:spacing w:after="0"/>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22" w:lineRule="exact"/>
        <w:rPr>
          <w:sz w:val="24"/>
          <w:szCs w:val="24"/>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20" w:type="dxa"/>
        <w:tblCellMar>
          <w:top w:w="0" w:type="dxa"/>
          <w:left w:w="0" w:type="dxa"/>
          <w:bottom w:w="0" w:type="dxa"/>
          <w:right w:w="0" w:type="dxa"/>
        </w:tblCellMar>
      </w:tblPr>
      <w:tr>
        <w:trPr>
          <w:trHeight w:val="237"/>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200" w:type="dxa"/>
            <w:vAlign w:val="bottom"/>
          </w:tcPr>
          <w:p>
            <w:pPr>
              <w:ind w:left="9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44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Accelerated filer</w:t>
            </w:r>
          </w:p>
        </w:tc>
        <w:tc>
          <w:tcPr>
            <w:tcW w:w="920" w:type="dxa"/>
            <w:vAlign w:val="bottom"/>
          </w:tcPr>
          <w:p>
            <w:pPr>
              <w:ind w:left="78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255"/>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200" w:type="dxa"/>
            <w:vAlign w:val="bottom"/>
          </w:tcPr>
          <w:p>
            <w:pPr>
              <w:ind w:left="920"/>
              <w:spacing w:after="0"/>
              <w:rPr>
                <w:sz w:val="20"/>
                <w:szCs w:val="20"/>
                <w:color w:val="auto"/>
              </w:rPr>
            </w:pPr>
            <w:r>
              <w:rPr>
                <w:rFonts w:ascii="Wingdings" w:cs="Wingdings" w:eastAsia="Wingdings" w:hAnsi="Wingdings"/>
                <w:sz w:val="14"/>
                <w:szCs w:val="14"/>
                <w:b w:val="1"/>
                <w:bCs w:val="1"/>
                <w:color w:val="auto"/>
              </w:rPr>
              <w:t>x</w:t>
            </w:r>
          </w:p>
        </w:tc>
        <w:tc>
          <w:tcPr>
            <w:tcW w:w="444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20" w:type="dxa"/>
            <w:vAlign w:val="bottom"/>
          </w:tcPr>
          <w:p>
            <w:pPr>
              <w:ind w:left="78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360"/>
        </w:trPr>
        <w:tc>
          <w:tcPr>
            <w:tcW w:w="21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4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Emerging growth company</w:t>
            </w:r>
          </w:p>
        </w:tc>
        <w:tc>
          <w:tcPr>
            <w:tcW w:w="920" w:type="dxa"/>
            <w:vAlign w:val="bottom"/>
          </w:tcPr>
          <w:p>
            <w:pPr>
              <w:ind w:left="780"/>
              <w:spacing w:after="0"/>
              <w:rPr>
                <w:sz w:val="20"/>
                <w:szCs w:val="20"/>
                <w:color w:val="auto"/>
              </w:rPr>
            </w:pPr>
            <w:r>
              <w:rPr>
                <w:rFonts w:ascii="Wingdings" w:cs="Wingdings" w:eastAsia="Wingdings" w:hAnsi="Wingdings"/>
                <w:sz w:val="14"/>
                <w:szCs w:val="14"/>
                <w:b w:val="1"/>
                <w:bCs w:val="1"/>
                <w:color w:val="auto"/>
                <w:w w:val="80"/>
              </w:rPr>
              <w:t>x</w:t>
            </w:r>
          </w:p>
        </w:tc>
      </w:tr>
    </w:tbl>
    <w:p>
      <w:pPr>
        <w:spacing w:after="0" w:line="293" w:lineRule="exact"/>
        <w:rPr>
          <w:sz w:val="24"/>
          <w:szCs w:val="24"/>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ind w:right="20"/>
        <w:spacing w:after="0"/>
        <w:rPr>
          <w:sz w:val="20"/>
          <w:szCs w:val="20"/>
          <w:color w:val="auto"/>
        </w:rPr>
      </w:pPr>
      <w:r>
        <w:rPr>
          <w:rFonts w:ascii="Wingdings" w:cs="Wingdings" w:eastAsia="Wingdings" w:hAnsi="Wingdings"/>
          <w:sz w:val="14"/>
          <w:szCs w:val="14"/>
          <w:b w:val="1"/>
          <w:bCs w:val="1"/>
          <w:color w:val="auto"/>
        </w:rPr>
        <w:t>x</w:t>
      </w:r>
    </w:p>
    <w:p>
      <w:pPr>
        <w:ind w:right="300"/>
        <w:spacing w:after="0" w:line="204" w:lineRule="exact"/>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w:t>
      </w:r>
      <w:r>
        <w:rPr>
          <w:rFonts w:ascii="Arial Unicode MS" w:cs="Arial Unicode MS" w:eastAsia="Arial Unicode MS" w:hAnsi="Arial Unicode MS"/>
          <w:sz w:val="14"/>
          <w:szCs w:val="14"/>
          <w:color w:val="auto"/>
        </w:rPr>
        <w:t>ﬀ</w:t>
      </w:r>
      <w:r>
        <w:rPr>
          <w:rFonts w:ascii="Times New Roman" w:cs="Times New Roman" w:eastAsia="Times New Roman" w:hAnsi="Times New Roman"/>
          <w:sz w:val="14"/>
          <w:szCs w:val="14"/>
          <w:color w:val="auto"/>
        </w:rPr>
        <w:t xml:space="preserve">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156" w:lineRule="exact"/>
        <w:rPr>
          <w:sz w:val="24"/>
          <w:szCs w:val="24"/>
          <w:color w:val="auto"/>
        </w:rPr>
      </w:pPr>
    </w:p>
    <w:p>
      <w:pPr>
        <w:ind w:right="380"/>
        <w:spacing w:after="0" w:line="334"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x</w:t>
      </w:r>
    </w:p>
    <w:p>
      <w:pPr>
        <w:spacing w:after="0" w:line="114" w:lineRule="exact"/>
        <w:rPr>
          <w:sz w:val="24"/>
          <w:szCs w:val="24"/>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x</w:t>
      </w: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p>
    <w:p>
      <w:pPr>
        <w:spacing w:after="0" w:line="136"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ectPr>
          <w:pgSz w:w="11900" w:h="16838" w:orient="portrait"/>
          <w:cols w:equalWidth="0" w:num="1">
            <w:col w:w="11300"/>
          </w:cols>
          <w:pgMar w:left="300" w:top="208" w:right="299" w:bottom="0" w:gutter="0" w:footer="0" w:header="0"/>
        </w:sectPr>
      </w:pPr>
    </w:p>
    <w:bookmarkStart w:id="1" w:name="page2"/>
    <w:bookmarkEnd w:id="1"/>
    <w:p>
      <w:pPr>
        <w:spacing w:after="0" w:line="253" w:lineRule="auto"/>
        <w:rPr>
          <w:sz w:val="20"/>
          <w:szCs w:val="20"/>
          <w:color w:val="auto"/>
        </w:rPr>
      </w:pPr>
      <w:r>
        <w:rPr>
          <w:rFonts w:ascii="Times New Roman" w:cs="Times New Roman" w:eastAsia="Times New Roman" w:hAnsi="Times New Roman"/>
          <w:sz w:val="14"/>
          <w:szCs w:val="14"/>
          <w:color w:val="auto"/>
        </w:rPr>
        <w:t>The aggregate market value of the common stock of the registrant held by non-affiliates as of January 29, 2026 was approximately $300,533,415.The registrant has elected to use January 29, 2026 as the calculation date because on June 30, 2025 (the last business day of the registrant’s most recently completed second fiscal quarter) there was no established US public market for the registrant’s common stock.</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As of March 24, 2026, Public Policy Holding Company, Inc. had 28,928,777 shares of common stock outstanding.</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Portions of the registrant’s proxy statement for the 2026 Annual Meeting of Stockholders are incorporated by reference into Part III of this report to the extent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554355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41910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20"/>
          </w:cols>
          <w:pgMar w:left="300" w:top="115"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1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733"/>
        </w:trPr>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12"/>
          </w:tcPr>
          <w:p>
            <w:pPr>
              <w:ind w:left="400"/>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52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7"/>
          </w:tcPr>
          <w:p>
            <w:pPr>
              <w:jc w:val="center"/>
              <w:ind w:right="1460"/>
              <w:spacing w:after="0"/>
              <w:rPr>
                <w:sz w:val="20"/>
                <w:szCs w:val="20"/>
                <w:color w:val="auto"/>
              </w:rPr>
            </w:pPr>
            <w:r>
              <w:rPr>
                <w:rFonts w:ascii="Times New Roman" w:cs="Times New Roman" w:eastAsia="Times New Roman" w:hAnsi="Times New Roman"/>
                <w:sz w:val="14"/>
                <w:szCs w:val="14"/>
                <w:b w:val="1"/>
                <w:bCs w:val="1"/>
                <w:color w:val="0000FF"/>
                <w:w w:val="97"/>
              </w:rPr>
              <w:t>PART I</w:t>
            </w:r>
          </w:p>
        </w:tc>
      </w:tr>
      <w:tr>
        <w:trPr>
          <w:trHeight w:val="192"/>
        </w:trPr>
        <w:tc>
          <w:tcPr>
            <w:tcW w:w="20" w:type="dxa"/>
            <w:vAlign w:val="bottom"/>
          </w:tcPr>
          <w:p>
            <w:pPr>
              <w:spacing w:after="0"/>
              <w:rPr>
                <w:sz w:val="16"/>
                <w:szCs w:val="16"/>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ITEM 1.</w:t>
            </w:r>
          </w:p>
        </w:tc>
        <w:tc>
          <w:tcPr>
            <w:tcW w:w="442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Business</w:t>
            </w:r>
          </w:p>
        </w:tc>
        <w:tc>
          <w:tcPr>
            <w:tcW w:w="460" w:type="dxa"/>
            <w:vAlign w:val="bottom"/>
            <w:tcBorders>
              <w:top w:val="single" w:sz="8" w:color="0000FF"/>
            </w:tcBorders>
          </w:tcPr>
          <w:p>
            <w:pPr>
              <w:spacing w:after="0"/>
              <w:rPr>
                <w:sz w:val="16"/>
                <w:szCs w:val="16"/>
                <w:color w:val="auto"/>
              </w:rPr>
            </w:pPr>
          </w:p>
        </w:tc>
        <w:tc>
          <w:tcPr>
            <w:tcW w:w="1460" w:type="dxa"/>
            <w:vAlign w:val="bottom"/>
            <w:gridSpan w:val="6"/>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5"/>
              </w:rPr>
              <w:t>ITEM 1A.</w:t>
            </w:r>
          </w:p>
        </w:tc>
        <w:tc>
          <w:tcPr>
            <w:tcW w:w="480" w:type="dxa"/>
            <w:vAlign w:val="bottom"/>
            <w:gridSpan w:val="2"/>
          </w:tcPr>
          <w:p>
            <w:pPr>
              <w:spacing w:after="0"/>
              <w:rPr>
                <w:sz w:val="19"/>
                <w:szCs w:val="19"/>
                <w:color w:val="auto"/>
              </w:rPr>
            </w:pPr>
          </w:p>
        </w:tc>
        <w:tc>
          <w:tcPr>
            <w:tcW w:w="634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Risk Factors</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gridSpan w:val="2"/>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7"/>
              </w:rPr>
              <w:t>ITEM 1B.</w:t>
            </w:r>
          </w:p>
        </w:tc>
        <w:tc>
          <w:tcPr>
            <w:tcW w:w="480" w:type="dxa"/>
            <w:vAlign w:val="bottom"/>
            <w:gridSpan w:val="2"/>
          </w:tcPr>
          <w:p>
            <w:pPr>
              <w:spacing w:after="0"/>
              <w:rPr>
                <w:sz w:val="19"/>
                <w:szCs w:val="19"/>
                <w:color w:val="auto"/>
              </w:rPr>
            </w:pPr>
          </w:p>
        </w:tc>
        <w:tc>
          <w:tcPr>
            <w:tcW w:w="16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w w:val="99"/>
              </w:rPr>
              <w:t>Unresolved Staff Comments</w:t>
            </w:r>
          </w:p>
        </w:tc>
        <w:tc>
          <w:tcPr>
            <w:tcW w:w="4740" w:type="dxa"/>
            <w:vAlign w:val="bottom"/>
            <w:gridSpan w:val="17"/>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ITEM 1C.</w:t>
            </w:r>
          </w:p>
        </w:tc>
        <w:tc>
          <w:tcPr>
            <w:tcW w:w="634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Cyber Security</w:t>
            </w:r>
          </w:p>
        </w:tc>
      </w:tr>
      <w:tr>
        <w:trPr>
          <w:trHeight w:val="224"/>
        </w:trPr>
        <w:tc>
          <w:tcPr>
            <w:tcW w:w="20" w:type="dxa"/>
            <w:vAlign w:val="bottom"/>
          </w:tcPr>
          <w:p>
            <w:pPr>
              <w:spacing w:after="0"/>
              <w:rPr>
                <w:sz w:val="19"/>
                <w:szCs w:val="19"/>
                <w:color w:val="auto"/>
              </w:rPr>
            </w:pPr>
          </w:p>
        </w:tc>
        <w:tc>
          <w:tcPr>
            <w:tcW w:w="6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ITEM 2.</w:t>
            </w:r>
          </w:p>
        </w:tc>
        <w:tc>
          <w:tcPr>
            <w:tcW w:w="480" w:type="dxa"/>
            <w:vAlign w:val="bottom"/>
            <w:gridSpan w:val="2"/>
          </w:tcPr>
          <w:p>
            <w:pPr>
              <w:spacing w:after="0"/>
              <w:rPr>
                <w:sz w:val="19"/>
                <w:szCs w:val="19"/>
                <w:color w:val="auto"/>
              </w:rPr>
            </w:pPr>
          </w:p>
        </w:tc>
        <w:tc>
          <w:tcPr>
            <w:tcW w:w="8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Properties</w:t>
            </w:r>
          </w:p>
        </w:tc>
        <w:tc>
          <w:tcPr>
            <w:tcW w:w="5500" w:type="dxa"/>
            <w:vAlign w:val="bottom"/>
            <w:gridSpan w:val="22"/>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ITEM 3.</w:t>
            </w:r>
          </w:p>
        </w:tc>
        <w:tc>
          <w:tcPr>
            <w:tcW w:w="634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Legal Proceedings</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ITEM 4.</w:t>
            </w:r>
          </w:p>
        </w:tc>
        <w:tc>
          <w:tcPr>
            <w:tcW w:w="634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Mine Safety Disclosures</w:t>
            </w:r>
          </w:p>
        </w:tc>
      </w:tr>
      <w:tr>
        <w:trPr>
          <w:trHeight w:val="192"/>
        </w:trPr>
        <w:tc>
          <w:tcPr>
            <w:tcW w:w="20" w:type="dxa"/>
            <w:vAlign w:val="bottom"/>
          </w:tcPr>
          <w:p>
            <w:pPr>
              <w:spacing w:after="0"/>
              <w:rPr>
                <w:sz w:val="16"/>
                <w:szCs w:val="16"/>
                <w:color w:val="auto"/>
              </w:rPr>
            </w:pPr>
          </w:p>
        </w:tc>
        <w:tc>
          <w:tcPr>
            <w:tcW w:w="48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0000FF"/>
                <w:w w:val="98"/>
              </w:rPr>
              <w:t>PART II</w:t>
            </w:r>
          </w:p>
        </w:tc>
        <w:tc>
          <w:tcPr>
            <w:tcW w:w="1420" w:type="dxa"/>
            <w:vAlign w:val="bottom"/>
            <w:gridSpan w:val="5"/>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ITEM 5.</w:t>
            </w:r>
          </w:p>
        </w:tc>
        <w:tc>
          <w:tcPr>
            <w:tcW w:w="634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ITEM 6.</w:t>
            </w:r>
          </w:p>
        </w:tc>
        <w:tc>
          <w:tcPr>
            <w:tcW w:w="634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Reserved</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ITEM 7.</w:t>
            </w:r>
          </w:p>
        </w:tc>
        <w:tc>
          <w:tcPr>
            <w:tcW w:w="634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w:t>
            </w:r>
            <w:r>
              <w:rPr>
                <w:rFonts w:ascii="Times New Roman" w:cs="Times New Roman" w:eastAsia="Times New Roman" w:hAnsi="Times New Roman"/>
                <w:sz w:val="14"/>
                <w:szCs w:val="14"/>
                <w:color w:val="000000"/>
              </w:rPr>
              <w:t>s</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5"/>
              </w:rPr>
              <w:t>ITEM 7A.</w:t>
            </w:r>
          </w:p>
        </w:tc>
        <w:tc>
          <w:tcPr>
            <w:tcW w:w="480" w:type="dxa"/>
            <w:vAlign w:val="bottom"/>
            <w:gridSpan w:val="2"/>
          </w:tcPr>
          <w:p>
            <w:pPr>
              <w:spacing w:after="0"/>
              <w:rPr>
                <w:sz w:val="19"/>
                <w:szCs w:val="19"/>
                <w:color w:val="auto"/>
              </w:rPr>
            </w:pPr>
          </w:p>
        </w:tc>
        <w:tc>
          <w:tcPr>
            <w:tcW w:w="33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2960" w:type="dxa"/>
            <w:vAlign w:val="bottom"/>
            <w:gridSpan w:val="12"/>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ITEM 8.</w:t>
            </w:r>
          </w:p>
        </w:tc>
        <w:tc>
          <w:tcPr>
            <w:tcW w:w="634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ITEM 9.</w:t>
            </w:r>
          </w:p>
        </w:tc>
        <w:tc>
          <w:tcPr>
            <w:tcW w:w="634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5"/>
              </w:rPr>
              <w:t>ITEM 9A.</w:t>
            </w:r>
          </w:p>
        </w:tc>
        <w:tc>
          <w:tcPr>
            <w:tcW w:w="480" w:type="dxa"/>
            <w:vAlign w:val="bottom"/>
            <w:gridSpan w:val="2"/>
          </w:tcPr>
          <w:p>
            <w:pPr>
              <w:spacing w:after="0"/>
              <w:rPr>
                <w:sz w:val="19"/>
                <w:szCs w:val="19"/>
                <w:color w:val="auto"/>
              </w:rPr>
            </w:pPr>
          </w:p>
        </w:tc>
        <w:tc>
          <w:tcPr>
            <w:tcW w:w="634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Controls and Procedures</w:t>
            </w:r>
          </w:p>
        </w:tc>
      </w:tr>
      <w:tr>
        <w:trPr>
          <w:trHeight w:val="192"/>
        </w:trPr>
        <w:tc>
          <w:tcPr>
            <w:tcW w:w="20" w:type="dxa"/>
            <w:vAlign w:val="bottom"/>
          </w:tcPr>
          <w:p>
            <w:pPr>
              <w:spacing w:after="0"/>
              <w:rPr>
                <w:sz w:val="16"/>
                <w:szCs w:val="16"/>
                <w:color w:val="auto"/>
              </w:rPr>
            </w:pPr>
          </w:p>
        </w:tc>
        <w:tc>
          <w:tcPr>
            <w:tcW w:w="6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7"/>
              </w:rPr>
              <w:t>ITEM 9B.</w:t>
            </w:r>
          </w:p>
        </w:tc>
        <w:tc>
          <w:tcPr>
            <w:tcW w:w="480" w:type="dxa"/>
            <w:vAlign w:val="bottom"/>
            <w:gridSpan w:val="2"/>
          </w:tcPr>
          <w:p>
            <w:pPr>
              <w:spacing w:after="0"/>
              <w:rPr>
                <w:sz w:val="16"/>
                <w:szCs w:val="16"/>
                <w:color w:val="auto"/>
              </w:rPr>
            </w:pPr>
          </w:p>
        </w:tc>
        <w:tc>
          <w:tcPr>
            <w:tcW w:w="13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4960" w:type="dxa"/>
            <w:vAlign w:val="bottom"/>
            <w:gridSpan w:val="19"/>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7"/>
              </w:rPr>
              <w:t>ITEM 9C.</w:t>
            </w:r>
          </w:p>
        </w:tc>
        <w:tc>
          <w:tcPr>
            <w:tcW w:w="480" w:type="dxa"/>
            <w:vAlign w:val="bottom"/>
            <w:gridSpan w:val="2"/>
          </w:tcPr>
          <w:p>
            <w:pPr>
              <w:spacing w:after="0"/>
              <w:rPr>
                <w:sz w:val="16"/>
                <w:szCs w:val="16"/>
                <w:color w:val="auto"/>
              </w:rPr>
            </w:pPr>
          </w:p>
        </w:tc>
        <w:tc>
          <w:tcPr>
            <w:tcW w:w="634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r>
      <w:tr>
        <w:trPr>
          <w:trHeight w:val="192"/>
        </w:trPr>
        <w:tc>
          <w:tcPr>
            <w:tcW w:w="20" w:type="dxa"/>
            <w:vAlign w:val="bottom"/>
          </w:tcPr>
          <w:p>
            <w:pPr>
              <w:spacing w:after="0"/>
              <w:rPr>
                <w:sz w:val="16"/>
                <w:szCs w:val="16"/>
                <w:color w:val="auto"/>
              </w:rPr>
            </w:pPr>
          </w:p>
        </w:tc>
        <w:tc>
          <w:tcPr>
            <w:tcW w:w="4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60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440" w:type="dxa"/>
            <w:vAlign w:val="bottom"/>
          </w:tcPr>
          <w:p>
            <w:pPr>
              <w:spacing w:after="0"/>
              <w:rPr>
                <w:sz w:val="16"/>
                <w:szCs w:val="16"/>
                <w:color w:val="auto"/>
              </w:rPr>
            </w:pPr>
          </w:p>
        </w:tc>
        <w:tc>
          <w:tcPr>
            <w:tcW w:w="2060" w:type="dxa"/>
            <w:vAlign w:val="bottom"/>
            <w:gridSpan w:val="10"/>
          </w:tcPr>
          <w:p>
            <w:pPr>
              <w:jc w:val="center"/>
              <w:ind w:right="1300"/>
              <w:spacing w:after="0"/>
              <w:rPr>
                <w:sz w:val="20"/>
                <w:szCs w:val="20"/>
                <w:color w:val="auto"/>
              </w:rPr>
            </w:pPr>
            <w:r>
              <w:rPr>
                <w:rFonts w:ascii="Times New Roman" w:cs="Times New Roman" w:eastAsia="Times New Roman" w:hAnsi="Times New Roman"/>
                <w:sz w:val="14"/>
                <w:szCs w:val="14"/>
                <w:b w:val="1"/>
                <w:bCs w:val="1"/>
                <w:color w:val="0000FF"/>
                <w:w w:val="96"/>
              </w:rPr>
              <w:t>PART III</w:t>
            </w:r>
          </w:p>
        </w:tc>
      </w:tr>
      <w:tr>
        <w:trPr>
          <w:trHeight w:val="192"/>
        </w:trPr>
        <w:tc>
          <w:tcPr>
            <w:tcW w:w="20" w:type="dxa"/>
            <w:vAlign w:val="bottom"/>
          </w:tcPr>
          <w:p>
            <w:pPr>
              <w:spacing w:after="0"/>
              <w:rPr>
                <w:sz w:val="16"/>
                <w:szCs w:val="16"/>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10.</w:t>
            </w:r>
          </w:p>
        </w:tc>
        <w:tc>
          <w:tcPr>
            <w:tcW w:w="480" w:type="dxa"/>
            <w:vAlign w:val="bottom"/>
            <w:gridSpan w:val="2"/>
          </w:tcPr>
          <w:p>
            <w:pPr>
              <w:spacing w:after="0"/>
              <w:rPr>
                <w:sz w:val="16"/>
                <w:szCs w:val="16"/>
                <w:color w:val="auto"/>
              </w:rPr>
            </w:pPr>
          </w:p>
        </w:tc>
        <w:tc>
          <w:tcPr>
            <w:tcW w:w="438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620" w:type="dxa"/>
            <w:vAlign w:val="bottom"/>
            <w:tcBorders>
              <w:top w:val="single" w:sz="8" w:color="0000FF"/>
            </w:tcBorders>
            <w:gridSpan w:val="6"/>
          </w:tcPr>
          <w:p>
            <w:pPr>
              <w:spacing w:after="0"/>
              <w:rPr>
                <w:sz w:val="16"/>
                <w:szCs w:val="16"/>
                <w:color w:val="auto"/>
              </w:rPr>
            </w:pPr>
          </w:p>
        </w:tc>
        <w:tc>
          <w:tcPr>
            <w:tcW w:w="1340" w:type="dxa"/>
            <w:vAlign w:val="bottom"/>
            <w:gridSpan w:val="3"/>
          </w:tcPr>
          <w:p>
            <w:pPr>
              <w:spacing w:after="0"/>
              <w:rPr>
                <w:sz w:val="16"/>
                <w:szCs w:val="16"/>
                <w:color w:val="auto"/>
              </w:rPr>
            </w:pPr>
          </w:p>
        </w:tc>
      </w:tr>
      <w:tr>
        <w:trPr>
          <w:trHeight w:val="224"/>
        </w:trPr>
        <w:tc>
          <w:tcPr>
            <w:tcW w:w="20" w:type="dxa"/>
            <w:vAlign w:val="bottom"/>
          </w:tcPr>
          <w:p>
            <w:pPr>
              <w:spacing w:after="0"/>
              <w:rPr>
                <w:sz w:val="19"/>
                <w:szCs w:val="19"/>
                <w:color w:val="auto"/>
              </w:rPr>
            </w:pPr>
          </w:p>
        </w:tc>
        <w:tc>
          <w:tcPr>
            <w:tcW w:w="5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7"/>
              </w:rPr>
              <w:t>ITEM 11.</w:t>
            </w:r>
          </w:p>
        </w:tc>
        <w:tc>
          <w:tcPr>
            <w:tcW w:w="40" w:type="dxa"/>
            <w:vAlign w:val="bottom"/>
            <w:tcBorders>
              <w:top w:val="single" w:sz="8" w:color="0000FF"/>
            </w:tcBorders>
          </w:tcPr>
          <w:p>
            <w:pPr>
              <w:spacing w:after="0"/>
              <w:rPr>
                <w:sz w:val="19"/>
                <w:szCs w:val="19"/>
                <w:color w:val="auto"/>
              </w:rPr>
            </w:pPr>
          </w:p>
        </w:tc>
        <w:tc>
          <w:tcPr>
            <w:tcW w:w="480" w:type="dxa"/>
            <w:vAlign w:val="bottom"/>
            <w:gridSpan w:val="2"/>
          </w:tcPr>
          <w:p>
            <w:pPr>
              <w:spacing w:after="0"/>
              <w:rPr>
                <w:sz w:val="19"/>
                <w:szCs w:val="19"/>
                <w:color w:val="auto"/>
              </w:rPr>
            </w:pPr>
          </w:p>
        </w:tc>
        <w:tc>
          <w:tcPr>
            <w:tcW w:w="32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3140" w:type="dxa"/>
            <w:vAlign w:val="bottom"/>
            <w:gridSpan w:val="13"/>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7"/>
              </w:rPr>
              <w:t>ITEM 12.</w:t>
            </w:r>
          </w:p>
        </w:tc>
        <w:tc>
          <w:tcPr>
            <w:tcW w:w="40" w:type="dxa"/>
            <w:vAlign w:val="bottom"/>
            <w:tcBorders>
              <w:bottom w:val="single" w:sz="8" w:color="0000FF"/>
            </w:tcBorders>
          </w:tcPr>
          <w:p>
            <w:pPr>
              <w:spacing w:after="0"/>
              <w:rPr>
                <w:sz w:val="19"/>
                <w:szCs w:val="19"/>
                <w:color w:val="auto"/>
              </w:rPr>
            </w:pPr>
          </w:p>
        </w:tc>
        <w:tc>
          <w:tcPr>
            <w:tcW w:w="480" w:type="dxa"/>
            <w:vAlign w:val="bottom"/>
            <w:gridSpan w:val="2"/>
          </w:tcPr>
          <w:p>
            <w:pPr>
              <w:spacing w:after="0"/>
              <w:rPr>
                <w:sz w:val="19"/>
                <w:szCs w:val="19"/>
                <w:color w:val="auto"/>
              </w:rPr>
            </w:pPr>
          </w:p>
        </w:tc>
        <w:tc>
          <w:tcPr>
            <w:tcW w:w="572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6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ITEM 13.</w:t>
            </w:r>
          </w:p>
        </w:tc>
        <w:tc>
          <w:tcPr>
            <w:tcW w:w="480" w:type="dxa"/>
            <w:vAlign w:val="bottom"/>
            <w:gridSpan w:val="2"/>
          </w:tcPr>
          <w:p>
            <w:pPr>
              <w:spacing w:after="0"/>
              <w:rPr>
                <w:sz w:val="19"/>
                <w:szCs w:val="19"/>
                <w:color w:val="auto"/>
              </w:rPr>
            </w:pPr>
          </w:p>
        </w:tc>
        <w:tc>
          <w:tcPr>
            <w:tcW w:w="42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2060" w:type="dxa"/>
            <w:vAlign w:val="bottom"/>
            <w:gridSpan w:val="10"/>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ITEM 14.</w:t>
            </w:r>
          </w:p>
        </w:tc>
        <w:tc>
          <w:tcPr>
            <w:tcW w:w="634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Principal Accountant Fees and Services</w:t>
            </w:r>
          </w:p>
        </w:tc>
      </w:tr>
      <w:tr>
        <w:trPr>
          <w:trHeight w:val="224"/>
        </w:trPr>
        <w:tc>
          <w:tcPr>
            <w:tcW w:w="20" w:type="dxa"/>
            <w:vAlign w:val="bottom"/>
          </w:tcPr>
          <w:p>
            <w:pPr>
              <w:spacing w:after="0"/>
              <w:rPr>
                <w:sz w:val="19"/>
                <w:szCs w:val="19"/>
                <w:color w:val="auto"/>
              </w:rPr>
            </w:pPr>
          </w:p>
        </w:tc>
        <w:tc>
          <w:tcPr>
            <w:tcW w:w="4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9"/>
          </w:tcPr>
          <w:p>
            <w:pPr>
              <w:jc w:val="center"/>
              <w:ind w:right="1400"/>
              <w:spacing w:after="0"/>
              <w:rPr>
                <w:sz w:val="20"/>
                <w:szCs w:val="20"/>
                <w:color w:val="auto"/>
              </w:rPr>
            </w:pPr>
            <w:r>
              <w:rPr>
                <w:rFonts w:ascii="Times New Roman" w:cs="Times New Roman" w:eastAsia="Times New Roman" w:hAnsi="Times New Roman"/>
                <w:sz w:val="14"/>
                <w:szCs w:val="14"/>
                <w:b w:val="1"/>
                <w:bCs w:val="1"/>
                <w:color w:val="0000FF"/>
                <w:w w:val="97"/>
              </w:rPr>
              <w:t>PART IV</w:t>
            </w:r>
          </w:p>
        </w:tc>
      </w:tr>
      <w:tr>
        <w:trPr>
          <w:trHeight w:val="192"/>
        </w:trPr>
        <w:tc>
          <w:tcPr>
            <w:tcW w:w="20" w:type="dxa"/>
            <w:vAlign w:val="bottom"/>
          </w:tcPr>
          <w:p>
            <w:pPr>
              <w:spacing w:after="0"/>
              <w:rPr>
                <w:sz w:val="16"/>
                <w:szCs w:val="16"/>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ITEM 15.</w:t>
            </w:r>
          </w:p>
        </w:tc>
        <w:tc>
          <w:tcPr>
            <w:tcW w:w="480" w:type="dxa"/>
            <w:vAlign w:val="bottom"/>
            <w:gridSpan w:val="2"/>
          </w:tcPr>
          <w:p>
            <w:pPr>
              <w:spacing w:after="0"/>
              <w:rPr>
                <w:sz w:val="16"/>
                <w:szCs w:val="16"/>
                <w:color w:val="auto"/>
              </w:rPr>
            </w:pPr>
          </w:p>
        </w:tc>
        <w:tc>
          <w:tcPr>
            <w:tcW w:w="24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1920" w:type="dxa"/>
            <w:vAlign w:val="bottom"/>
            <w:gridSpan w:val="7"/>
          </w:tcPr>
          <w:p>
            <w:pPr>
              <w:spacing w:after="0"/>
              <w:rPr>
                <w:sz w:val="16"/>
                <w:szCs w:val="16"/>
                <w:color w:val="auto"/>
              </w:rPr>
            </w:pPr>
          </w:p>
        </w:tc>
        <w:tc>
          <w:tcPr>
            <w:tcW w:w="540" w:type="dxa"/>
            <w:vAlign w:val="bottom"/>
            <w:tcBorders>
              <w:top w:val="single" w:sz="8" w:color="0000FF"/>
            </w:tcBorders>
            <w:gridSpan w:val="4"/>
          </w:tcPr>
          <w:p>
            <w:pPr>
              <w:spacing w:after="0"/>
              <w:rPr>
                <w:sz w:val="16"/>
                <w:szCs w:val="16"/>
                <w:color w:val="auto"/>
              </w:rPr>
            </w:pPr>
          </w:p>
        </w:tc>
        <w:tc>
          <w:tcPr>
            <w:tcW w:w="1400" w:type="dxa"/>
            <w:vAlign w:val="bottom"/>
            <w:gridSpan w:val="4"/>
          </w:tcPr>
          <w:p>
            <w:pPr>
              <w:spacing w:after="0"/>
              <w:rPr>
                <w:sz w:val="16"/>
                <w:szCs w:val="16"/>
                <w:color w:val="auto"/>
              </w:rPr>
            </w:pPr>
          </w:p>
        </w:tc>
      </w:tr>
      <w:tr>
        <w:trPr>
          <w:trHeight w:val="224"/>
        </w:trPr>
        <w:tc>
          <w:tcPr>
            <w:tcW w:w="20" w:type="dxa"/>
            <w:vAlign w:val="bottom"/>
          </w:tcPr>
          <w:p>
            <w:pPr>
              <w:spacing w:after="0"/>
              <w:rPr>
                <w:sz w:val="19"/>
                <w:szCs w:val="19"/>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ITEM 16.</w:t>
            </w:r>
          </w:p>
        </w:tc>
        <w:tc>
          <w:tcPr>
            <w:tcW w:w="480" w:type="dxa"/>
            <w:vAlign w:val="bottom"/>
            <w:gridSpan w:val="2"/>
          </w:tcPr>
          <w:p>
            <w:pPr>
              <w:spacing w:after="0"/>
              <w:rPr>
                <w:sz w:val="19"/>
                <w:szCs w:val="19"/>
                <w:color w:val="auto"/>
              </w:rPr>
            </w:pPr>
          </w:p>
        </w:tc>
        <w:tc>
          <w:tcPr>
            <w:tcW w:w="12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8"/>
              </w:rPr>
              <w:t>Form 10-K Summary.</w:t>
            </w:r>
          </w:p>
        </w:tc>
        <w:tc>
          <w:tcPr>
            <w:tcW w:w="5100" w:type="dxa"/>
            <w:vAlign w:val="bottom"/>
            <w:gridSpan w:val="20"/>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29845</wp:posOffset>
            </wp:positionV>
            <wp:extent cx="5257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5780" cy="6985"/>
                    </a:xfrm>
                    <a:prstGeom prst="rect">
                      <a:avLst/>
                    </a:prstGeom>
                    <a:noFill/>
                  </pic:spPr>
                </pic:pic>
              </a:graphicData>
            </a:graphic>
          </wp:anchor>
        </w:drawing>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3</w:t>
      </w:r>
    </w:p>
    <w:p>
      <w:pPr>
        <w:spacing w:after="0" w:line="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21</w:t>
      </w:r>
    </w:p>
    <w:p>
      <w:pPr>
        <w:spacing w:after="0" w:line="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36</w:t>
      </w:r>
    </w:p>
    <w:p>
      <w:pPr>
        <w:spacing w:after="0" w:line="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36</w:t>
      </w:r>
    </w:p>
    <w:p>
      <w:pPr>
        <w:spacing w:after="0" w:line="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36</w:t>
      </w:r>
    </w:p>
    <w:p>
      <w:pPr>
        <w:spacing w:after="0" w:line="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37</w:t>
      </w:r>
    </w:p>
    <w:p>
      <w:pPr>
        <w:spacing w:after="0" w:line="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37</w:t>
      </w:r>
    </w:p>
    <w:p>
      <w:pPr>
        <w:spacing w:after="0" w:line="2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38</w:t>
      </w:r>
    </w:p>
    <w:p>
      <w:pPr>
        <w:spacing w:after="0" w:line="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40</w:t>
      </w:r>
    </w:p>
    <w:p>
      <w:pPr>
        <w:spacing w:after="0" w:line="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40</w:t>
      </w:r>
    </w:p>
    <w:p>
      <w:pPr>
        <w:spacing w:after="0" w:line="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60</w:t>
      </w:r>
    </w:p>
    <w:p>
      <w:pPr>
        <w:spacing w:after="0" w:line="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61</w:t>
      </w:r>
    </w:p>
    <w:p>
      <w:pPr>
        <w:spacing w:after="0" w:line="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102</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102</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103</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103</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104</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104</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104</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104</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104</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105</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107</w:t>
      </w:r>
    </w:p>
    <w:p>
      <w:pPr>
        <w:sectPr>
          <w:pgSz w:w="11900" w:h="16838" w:orient="portrait"/>
          <w:cols w:equalWidth="0" w:num="2">
            <w:col w:w="9980" w:space="720"/>
            <w:col w:w="300"/>
          </w:cols>
          <w:pgMar w:left="300" w:top="116" w:right="5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i w:val="1"/>
          <w:iCs w:val="1"/>
          <w:color w:val="auto"/>
        </w:rPr>
        <w:t>This Annual Report on Form 10-K contains forward-looking statements within the meaning of the federal securities laws. You can identify these statements by the use of forward-looking terminology such as “may,” “will,” “should,” “expect,” “anticipate,” “project,” “target,” “estimate,” “intend,” “continue” or “believe” or the negatives of, or other variations of, these terms or comparable terminology. These forward-looking statements include, but are not limited to, statements regarding: our core strategy; our ability to improve our content offerings and service; our future financial performance, including expectations regarding revenues, deferred revenue, operating income and margin, net income, expenses, and profitability; liquidity, including the sufficiency of our capital resources, cash requirements; net cash provided by (used in) operating activities, access to financing sources, and free cash flows; capital allocation strategies, including any stock repurchases or repurchase programs; stock price volatility; impact of foreign exchange rate fluctuations; impact of interest rate fluctuations; adequacy of existing facilities; future regulatory changes and their impact on our business; intellectual property; cybersecurity; price changes and testing; artificial intelligence (“AI”); acquisitions; actions by competitors; dividends; future contractual obligations, including unknown content obligations and timing of payments; our global content and marketing investments; tax expense; unrecognized tax benefits; deferred tax assets; tax deposits; resolutions of disputes and other proceedings; our ability to effectively manage change and growth; our company culture; and our ability to attract and retain qualified employees and key personnel. These forward-looking statements are subject to risks and uncertainties that could cause actual results and events to differ. A detailed discussion of these and other risks and uncertainties that could cause actual results and events to differ materially from such forward-looking statements is included throughout this filing and particularly in Item 1A: “Risk Factors” section set forth in this Annual Report on Form 10-K. All forward-looking statements included in this document are based on information available to us on the date hereof, and we assume no obligation to revise or publicly release any revision to any such forward-looking statement, except as may otherwise be required by law.</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1.</w:t>
        <w:tab/>
        <w:t>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38"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Our mission is to be the preeminent provider of global strategic communications by uniting a diverse group of leading government relations, corporate communications and public affairs specialists around the world for the collective success of our clients, employees, and shareholders.</w:t>
      </w:r>
    </w:p>
    <w:p>
      <w:pPr>
        <w:spacing w:after="0" w:line="8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Founded by veteran advisors with decades of experience in Washington, D.C.’s public policy and government relations landscape, we have grown and diversified our global communications advisory business through targeted acquisitions and organic growth. We designed our business to address the growing complexity and costs facing major corporate and non-profit entities in managing increasingly intricate and interdependent public policy and reputational challenges, and we now help more than 1,400 clients around the world navigate today’s complex mosaic of stakeholders across the full spectrum of corporate affairs. Our clients include nearly half of the Fortune 100.</w:t>
      </w:r>
    </w:p>
    <w:p>
      <w:pPr>
        <w:spacing w:after="0" w:line="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Across our growing portfolio, our specialized firms offer global strategic communications services, including government relations, corporate communications, public affairs, research, crisis management, financial communications and investor relations, and creative communications delivery. We are active in all major sectors of the economy, including healthcare and pharmaceuticals, asset management and financial services, energy, technology, telecoms and transportation. Our diverse and complementary services help clients enhance, fortify and defend their reputations, advance corporate strategy, manage regulatory risk and opportunities, and maintain productive, ongoing engagement with their most important stakeholders including federal- and state-level policy makers, investors, employees, customers, the media, and the general public. We do this in multiple jurisdictions and with our diverse and complementary capabilities.</w:t>
      </w:r>
    </w:p>
    <w:p>
      <w:pPr>
        <w:spacing w:after="0" w:line="101" w:lineRule="exact"/>
        <w:rPr>
          <w:sz w:val="20"/>
          <w:szCs w:val="20"/>
          <w:color w:val="auto"/>
        </w:rPr>
      </w:pPr>
    </w:p>
    <w:p>
      <w:pPr>
        <w:ind w:right="660"/>
        <w:spacing w:after="0" w:line="287" w:lineRule="auto"/>
        <w:rPr>
          <w:sz w:val="20"/>
          <w:szCs w:val="20"/>
          <w:color w:val="auto"/>
        </w:rPr>
      </w:pPr>
      <w:r>
        <w:rPr>
          <w:rFonts w:ascii="Times New Roman" w:cs="Times New Roman" w:eastAsia="Times New Roman" w:hAnsi="Times New Roman"/>
          <w:sz w:val="14"/>
          <w:szCs w:val="14"/>
          <w:color w:val="auto"/>
        </w:rPr>
        <w:t>Our business comprises of three reporting segments—Government Relations Consulting, Corporate Communications &amp; Public Affairs Consulting and Compliance and Insights Services— corresponding to the different types of strategic communications services our member companies provide to our clients:</w:t>
      </w:r>
    </w:p>
    <w:p>
      <w:pPr>
        <w:spacing w:after="0" w:line="80"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Government Relations Consulting </w:t>
      </w:r>
      <w:r>
        <w:rPr>
          <w:rFonts w:ascii="Times New Roman" w:cs="Times New Roman" w:eastAsia="Times New Roman" w:hAnsi="Times New Roman"/>
          <w:sz w:val="14"/>
          <w:szCs w:val="14"/>
          <w:color w:val="auto"/>
        </w:rPr>
        <w:t>services (which are also commonly referred to as “lobbying”) include advocacy, strategic guidance, political intelligence and issue monitoring at the US federal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state levels and in the United Kingdom through our offices in London;</w:t>
      </w:r>
    </w:p>
    <w:p>
      <w:pPr>
        <w:spacing w:after="0" w:line="78"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Corporate Communications &amp; Public Affairs Consulting </w:t>
      </w:r>
      <w:r>
        <w:rPr>
          <w:rFonts w:ascii="Times New Roman" w:cs="Times New Roman" w:eastAsia="Times New Roman" w:hAnsi="Times New Roman"/>
          <w:sz w:val="14"/>
          <w:szCs w:val="14"/>
          <w:color w:val="auto"/>
        </w:rPr>
        <w:t>services include crisis communications, financial communications and investor relations, litigation support, community relations, social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digital media, public opinion research, branding and messaging, and relationship marketing, across the United States and internationally through our offices in London, Shanghai, Abu Dhabi, and Dubai; and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Compliance and Insights Services </w:t>
      </w:r>
      <w:r>
        <w:rPr>
          <w:rFonts w:ascii="Times New Roman" w:cs="Times New Roman" w:eastAsia="Times New Roman" w:hAnsi="Times New Roman"/>
          <w:sz w:val="14"/>
          <w:szCs w:val="14"/>
          <w:color w:val="auto"/>
        </w:rPr>
        <w:t>include lobbying compliance services and legislative tracking.</w:t>
      </w:r>
    </w:p>
    <w:p>
      <w:pPr>
        <w:spacing w:after="0" w:line="13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Importantly, as distinct from legacy branded competitors in our industry who have sought to be all-in-one providers of strategic communications services to their clients, we deliver complementary strategic communications services through stand-alone firms. Each of our firms is recognized for excellence in its respective area of expertise, and is incentivized to collaborate and to partner with each of our other firms while maintaining a strong focus on its specialized services. Our business model allows us to deliver both the scale and reach of those all-in-one providers and also the higher standards of quality, service, creativity, and nimbleness that traditionally have been the domain of smaller boutiques. We seek to eliminate for clients the traditional trade-off between scale and quality, and our growth demonstrates that our business model is well-suited to the needs and preferences of modern clients.</w:t>
      </w:r>
    </w:p>
    <w:p>
      <w:pPr>
        <w:spacing w:after="0" w:line="10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Since our inception in 2014, we have acquired and integrated numerous businesses specializing in key facets of the global strategic communications market. Under our holding company, we now operate as 12 member companies in the United States and the United Kingdom, with expanding reach into Europe and parts of Asia and the Middle East. Our 12 member companies (together with PPHC, the “Company”) include Crossroads Strategies, LLC (“Crossroads”), Forbes Tate Partners LLC (“Forbes Tate”), Blue Engine Message &amp; Media, LLC (doing business as Seven Letter) (“Seven Letter”), O’Neill &amp; Partners, LLC (doing business as O’Neill &amp; Associates) (“O’Neill”), Alpine Group Partners, LLC (“Alpine”), KP Public Affairs LLC (“KP”), MultiState Associates, LLC (“MultiState”), Concordant LLC (“Concordant”), Lucas Public Affairs, LLC (“Lucas”), Pagefield Communications Limited (“Pagefield”),TrailRunner International, LLC (“TrailRunner”), and Pine Cove Strategies, LLC (“Pine Cove”).</w:t>
      </w:r>
    </w:p>
    <w:p>
      <w:pPr>
        <w:spacing w:after="0" w:line="103"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We announced the earnings-accretive acquisition of Texas-based TrailRunner for initial consideration of $33.0 million plus potential earnout payments in January 2025. Closing occurred on April 1, 2025. TrailRunner is a Texas headquartered global strategic communications advisory firm that operates with a global team across offices in Texas, New York,</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Nashville, and Northern California, London, Shanghai, Abu Dhabi, and Dubai. We announced the earnings-accretive acquisition of Pine Cove for initial consideration of $3.0 million in July 2025 plus potential earnout payments. Pine Cove is a strategic consulting firm that serves as a long-term partner to clients ranging from start-ups to established businesses and Fortune 100 companies. It advises and supports clients in navigating regulatory and complex business challenges.</w:t>
      </w:r>
    </w:p>
    <w:p>
      <w:pPr>
        <w:spacing w:after="0" w:line="93"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We operate in large, growing markets. We estimate that our total addressable market (“TAM”) in 2024 was in excess of $20.0 billion, comprising $4.4 billion of disclosed federal lobbying expenditure, an estimated $2.2 billion of partially disclosed total US state-based lobbying expenditure, an estimated $5.6 billion of global public affairs spend, and an estimated $8.4 billion global corporate communications spend. The latter, which covers corporate, crisis, and financial communications, became a larger part of our offering with the 2025 acquisition of TrailRunner.</w:t>
      </w:r>
    </w:p>
    <w:p>
      <w:pPr>
        <w:spacing w:after="0" w:line="9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As a company designed by and for the operators of advisory businesses, we optimize corporate strategy, cross-selling, and referral opportunities for our portfolio companies through proactive and collaborative engagement both firm-to-firm and at the holding company level. We provide our companies with a scalable platform for growth, providing uniform and efficient financial infrastructure, legal services, human resources, compliance and administration at the parent company level. We incentivize cross-company selling, talent referral and retention opportunities to sustain our world-class talent, and we reduce the overall incidence of client or sector conflicts by incentivizing our member companies to refer potential clients to other member companies or individual employees who are unconflicted and available to engage. These signature operator-friendly aspects of the business have enabled PPHC to successfully acquire firms that are among the very best in their fields, to retain and attract great talent in those firms, and to drive strong organic growth across the platform.</w:t>
      </w:r>
    </w:p>
    <w:p>
      <w:pPr>
        <w:spacing w:after="0" w:line="103"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4"/>
          <w:szCs w:val="14"/>
          <w:color w:val="auto"/>
        </w:rPr>
        <w:t>We have grown our geographical reach and practice capabilities to provide clients a full range of services through multiple member companies. Our evolution to date is the result of a careful and methodical strategy to build a unique service platform to simplify and more effectively address global client needs and opportunities in an increasingly fragmented and fast-moving environment where business, government, and public perception converge. This growth strategy is predicated on adding both geographic reach and a broad set of capabilities to help clients anticipate the expectations of key stakeholders and then drive stakeholder engagement and alignment.</w:t>
      </w:r>
    </w:p>
    <w:p>
      <w:pPr>
        <w:spacing w:after="0" w:line="9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Building on the globalization of public policy and reputation challenges, our founders and many of our senior managers operate in Washington, D.C., and have past careers and/or close professional ties to the US executive branch, Congress and regulatory authorities developed over more than 30 years. Other leaders operate principally at the state or regional level, drawing on decades of experience, deep community ties and relationships with key stakeholders in key markets, including Sacramento, Dallas-Fort Worth, Austin and New York. With the acquisitions of Pagefield in June 2024 and TrailRunner in April 2025, we have expanded our operations to other key US markets as well as to London, Shanghai, Abu Dhabi and Dubai, giving us truly global reach in key financial centers. We continue to look for opportunities to broaden the geographic scope of our services both domestically and abroad.</w:t>
      </w:r>
    </w:p>
    <w:p>
      <w:pPr>
        <w:spacing w:after="0" w:line="10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As of December 31, 2025, we had approximately 1,400 active client relationships, of which 613 contributed $100,000 or more in annual revenue, with no single client representing more than 2.1% of overall revenue, reflecting relatively low client concentration risk. We have a track record of high client retention, with an average annual client renewal rate of approximately 77.4% and an average revenue retention of 85.5% between 2020 to 2025.</w:t>
      </w:r>
    </w:p>
    <w:p>
      <w:pPr>
        <w:spacing w:after="0" w:line="9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For the year ended December 31, 2025, we incurred a $(39.0) million net loss, and generated $45.4 million of Adjusted Earnings before Interest, Taxes, Depreciation and Amortization ("Adjusted EBITDA"). The primary difference between our generally accepted accounting principles in the United States ("US GAAP" or "GAAP") net loss and our non-GAAP Adjusted EBITDA was a non-cash share-based accounting charge relating to our 2021 shares of $29.6 million prior to our UK listing on the Alternative Investment Market ("AIM"), a submarket of the London Stock Exchange (the "UK IPO"). Other adjustments comprise acquisition-related expenditures (mergers &amp; acquisition expenses, post-combination compensation expense, changes in fair value of contingent consideration, gain on bargain purchase price, and impairment charge) as well as long-term incentive programs charges, interest, tax, depreciation and amortization.</w:t>
      </w:r>
    </w:p>
    <w:p>
      <w:pPr>
        <w:spacing w:after="0" w:line="99"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For a discussion of our use of non-GAAP measures, and a reconciliation to the most directly comparable GAAP measures, see “</w:t>
      </w:r>
      <w:r>
        <w:rPr>
          <w:rFonts w:ascii="Times New Roman" w:cs="Times New Roman" w:eastAsia="Times New Roman" w:hAnsi="Times New Roman"/>
          <w:sz w:val="14"/>
          <w:szCs w:val="14"/>
          <w:i w:val="1"/>
          <w:iCs w:val="1"/>
          <w:color w:val="auto"/>
        </w:rPr>
        <w:t>Item 7. Management’s Discussion and Analysis of Financial Condition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Results of Operations—Non-GAAP Financial Measures</w:t>
      </w:r>
      <w:r>
        <w:rPr>
          <w:rFonts w:ascii="Times New Roman" w:cs="Times New Roman" w:eastAsia="Times New Roman" w:hAnsi="Times New Roman"/>
          <w:sz w:val="14"/>
          <w:szCs w:val="14"/>
          <w:color w:val="auto"/>
        </w:rPr>
        <w:t>,” below.</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presents select key financial performance measures since 2018:</w:t>
      </w:r>
    </w:p>
    <w:p>
      <w:pPr>
        <w:sectPr>
          <w:pgSz w:w="11900" w:h="16838" w:orient="portrait"/>
          <w:cols w:equalWidth="0" w:num="1">
            <w:col w:w="11220"/>
          </w:cols>
          <w:pgMar w:left="300" w:top="123" w:right="379" w:bottom="1440" w:gutter="0" w:footer="0" w:header="0"/>
        </w:sect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Revenue ($m)</w:t>
      </w:r>
    </w:p>
    <w:p>
      <w:pPr>
        <w:spacing w:after="0" w:line="41" w:lineRule="exact"/>
        <w:rPr>
          <w:sz w:val="20"/>
          <w:szCs w:val="20"/>
          <w:color w:val="auto"/>
        </w:rPr>
      </w:pPr>
    </w:p>
    <w:p>
      <w:pPr>
        <w:ind w:left="140" w:right="200" w:hanging="126"/>
        <w:spacing w:after="0" w:line="264" w:lineRule="auto"/>
        <w:rPr>
          <w:sz w:val="20"/>
          <w:szCs w:val="20"/>
          <w:color w:val="auto"/>
        </w:rPr>
      </w:pPr>
      <w:r>
        <w:rPr>
          <w:rFonts w:ascii="Times New Roman" w:cs="Times New Roman" w:eastAsia="Times New Roman" w:hAnsi="Times New Roman"/>
          <w:sz w:val="13"/>
          <w:szCs w:val="13"/>
          <w:color w:val="auto"/>
        </w:rPr>
        <w:t>Revenue growth (period-over-period)</w:t>
      </w:r>
    </w:p>
    <w:p>
      <w:pPr>
        <w:spacing w:after="0" w:line="21" w:lineRule="exact"/>
        <w:rPr>
          <w:sz w:val="20"/>
          <w:szCs w:val="20"/>
          <w:color w:val="auto"/>
        </w:rPr>
      </w:pPr>
    </w:p>
    <w:p>
      <w:pPr>
        <w:ind w:left="140" w:hanging="126"/>
        <w:spacing w:after="0" w:line="264" w:lineRule="auto"/>
        <w:rPr>
          <w:sz w:val="20"/>
          <w:szCs w:val="20"/>
          <w:color w:val="auto"/>
        </w:rPr>
      </w:pPr>
      <w:r>
        <w:rPr>
          <w:rFonts w:ascii="Times New Roman" w:cs="Times New Roman" w:eastAsia="Times New Roman" w:hAnsi="Times New Roman"/>
          <w:sz w:val="13"/>
          <w:szCs w:val="13"/>
          <w:color w:val="auto"/>
        </w:rPr>
        <w:t>Organic Revenue Growth (period-over-period)</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loss ($m)</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Adjusted EBITDA ($m)</w:t>
      </w:r>
      <w:r>
        <w:rPr>
          <w:rFonts w:ascii="Times New Roman" w:cs="Times New Roman" w:eastAsia="Times New Roman" w:hAnsi="Times New Roman"/>
          <w:sz w:val="16"/>
          <w:szCs w:val="16"/>
          <w:color w:val="auto"/>
          <w:vertAlign w:val="superscript"/>
        </w:rPr>
        <w:t>(1)</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loss margin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Adjusted EBITDA margin</w:t>
      </w:r>
    </w:p>
    <w:p>
      <w:pPr>
        <w:spacing w:after="0" w:line="41" w:lineRule="exact"/>
        <w:rPr>
          <w:sz w:val="20"/>
          <w:szCs w:val="20"/>
          <w:color w:val="auto"/>
        </w:rPr>
      </w:pPr>
    </w:p>
    <w:p>
      <w:pPr>
        <w:ind w:left="140" w:right="340" w:hanging="126"/>
        <w:spacing w:after="0" w:line="264" w:lineRule="auto"/>
        <w:rPr>
          <w:sz w:val="20"/>
          <w:szCs w:val="20"/>
          <w:color w:val="auto"/>
        </w:rPr>
      </w:pPr>
      <w:r>
        <w:rPr>
          <w:rFonts w:ascii="Times New Roman" w:cs="Times New Roman" w:eastAsia="Times New Roman" w:hAnsi="Times New Roman"/>
          <w:sz w:val="13"/>
          <w:szCs w:val="13"/>
          <w:color w:val="auto"/>
        </w:rPr>
        <w:t>Top 10 clients as % of total revenue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900" w:type="dxa"/>
            <w:vAlign w:val="bottom"/>
          </w:tcPr>
          <w:p>
            <w:pPr>
              <w:ind w:left="340"/>
              <w:spacing w:after="0"/>
              <w:rPr>
                <w:sz w:val="20"/>
                <w:szCs w:val="20"/>
                <w:color w:val="auto"/>
              </w:rPr>
            </w:pPr>
            <w:r>
              <w:rPr>
                <w:rFonts w:ascii="Times New Roman" w:cs="Times New Roman" w:eastAsia="Times New Roman" w:hAnsi="Times New Roman"/>
                <w:sz w:val="10"/>
                <w:szCs w:val="10"/>
                <w:b w:val="1"/>
                <w:bCs w:val="1"/>
                <w:color w:val="auto"/>
              </w:rPr>
              <w:t>2018</w:t>
            </w:r>
          </w:p>
        </w:tc>
        <w:tc>
          <w:tcPr>
            <w:tcW w:w="80" w:type="dxa"/>
            <w:vAlign w:val="bottom"/>
          </w:tcPr>
          <w:p>
            <w:pPr>
              <w:spacing w:after="0"/>
              <w:rPr>
                <w:sz w:val="11"/>
                <w:szCs w:val="11"/>
                <w:color w:val="auto"/>
              </w:rPr>
            </w:pPr>
          </w:p>
        </w:tc>
        <w:tc>
          <w:tcPr>
            <w:tcW w:w="900" w:type="dxa"/>
            <w:vAlign w:val="bottom"/>
          </w:tcPr>
          <w:p>
            <w:pPr>
              <w:ind w:left="340"/>
              <w:spacing w:after="0"/>
              <w:rPr>
                <w:sz w:val="20"/>
                <w:szCs w:val="20"/>
                <w:color w:val="auto"/>
              </w:rPr>
            </w:pPr>
            <w:r>
              <w:rPr>
                <w:rFonts w:ascii="Times New Roman" w:cs="Times New Roman" w:eastAsia="Times New Roman" w:hAnsi="Times New Roman"/>
                <w:sz w:val="10"/>
                <w:szCs w:val="10"/>
                <w:b w:val="1"/>
                <w:bCs w:val="1"/>
                <w:color w:val="auto"/>
              </w:rPr>
              <w:t>2019</w:t>
            </w:r>
          </w:p>
        </w:tc>
        <w:tc>
          <w:tcPr>
            <w:tcW w:w="80" w:type="dxa"/>
            <w:vAlign w:val="bottom"/>
          </w:tcPr>
          <w:p>
            <w:pPr>
              <w:spacing w:after="0"/>
              <w:rPr>
                <w:sz w:val="11"/>
                <w:szCs w:val="11"/>
                <w:color w:val="auto"/>
              </w:rPr>
            </w:pP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11"/>
                <w:szCs w:val="11"/>
                <w:color w:val="auto"/>
              </w:rPr>
            </w:pP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Pr>
          <w:p>
            <w:pPr>
              <w:spacing w:after="0"/>
              <w:rPr>
                <w:sz w:val="11"/>
                <w:szCs w:val="11"/>
                <w:color w:val="auto"/>
              </w:rPr>
            </w:pPr>
          </w:p>
        </w:tc>
        <w:tc>
          <w:tcPr>
            <w:tcW w:w="900" w:type="dxa"/>
            <w:vAlign w:val="bottom"/>
          </w:tcPr>
          <w:p>
            <w:pPr>
              <w:jc w:val="right"/>
              <w:ind w:right="278"/>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Pr>
          <w:p>
            <w:pPr>
              <w:spacing w:after="0"/>
              <w:rPr>
                <w:sz w:val="11"/>
                <w:szCs w:val="11"/>
                <w:color w:val="auto"/>
              </w:rPr>
            </w:pPr>
          </w:p>
        </w:tc>
        <w:tc>
          <w:tcPr>
            <w:tcW w:w="900" w:type="dxa"/>
            <w:vAlign w:val="bottom"/>
          </w:tcPr>
          <w:p>
            <w:pPr>
              <w:jc w:val="right"/>
              <w:ind w:right="298"/>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Pr>
          <w:p>
            <w:pPr>
              <w:spacing w:after="0"/>
              <w:rPr>
                <w:sz w:val="11"/>
                <w:szCs w:val="11"/>
                <w:color w:val="auto"/>
              </w:rPr>
            </w:pPr>
          </w:p>
        </w:tc>
        <w:tc>
          <w:tcPr>
            <w:tcW w:w="900" w:type="dxa"/>
            <w:vAlign w:val="bottom"/>
          </w:tcPr>
          <w:p>
            <w:pPr>
              <w:jc w:val="right"/>
              <w:ind w:right="298"/>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11"/>
                <w:szCs w:val="11"/>
                <w:color w:val="auto"/>
              </w:rPr>
            </w:pPr>
          </w:p>
        </w:tc>
        <w:tc>
          <w:tcPr>
            <w:tcW w:w="920" w:type="dxa"/>
            <w:vAlign w:val="bottom"/>
          </w:tcPr>
          <w:p>
            <w:pPr>
              <w:jc w:val="right"/>
              <w:ind w:right="298"/>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1"/>
                <w:szCs w:val="11"/>
                <w:color w:val="auto"/>
              </w:rPr>
            </w:pP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0"/>
                <w:szCs w:val="10"/>
                <w:b w:val="1"/>
                <w:bCs w:val="1"/>
                <w:color w:val="auto"/>
              </w:rPr>
              <w:t>CAGR 2018-2025</w:t>
            </w:r>
          </w:p>
        </w:tc>
      </w:tr>
      <w:tr>
        <w:trPr>
          <w:trHeight w:val="23"/>
        </w:trPr>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67"/>
        </w:trPr>
        <w:tc>
          <w:tcPr>
            <w:tcW w:w="9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33.8</w:t>
            </w:r>
          </w:p>
        </w:tc>
        <w:tc>
          <w:tcPr>
            <w:tcW w:w="80" w:type="dxa"/>
            <w:vAlign w:val="bottom"/>
          </w:tcPr>
          <w:p>
            <w:pPr>
              <w:spacing w:after="0"/>
              <w:rPr>
                <w:sz w:val="14"/>
                <w:szCs w:val="14"/>
                <w:color w:val="auto"/>
              </w:rPr>
            </w:pPr>
          </w:p>
        </w:tc>
        <w:tc>
          <w:tcPr>
            <w:tcW w:w="9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55.5</w:t>
            </w:r>
          </w:p>
        </w:tc>
        <w:tc>
          <w:tcPr>
            <w:tcW w:w="8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77.4</w:t>
            </w:r>
          </w:p>
        </w:tc>
        <w:tc>
          <w:tcPr>
            <w:tcW w:w="80" w:type="dxa"/>
            <w:vAlign w:val="bottom"/>
          </w:tcPr>
          <w:p>
            <w:pPr>
              <w:spacing w:after="0"/>
              <w:rPr>
                <w:sz w:val="14"/>
                <w:szCs w:val="14"/>
                <w:color w:val="auto"/>
              </w:rPr>
            </w:pPr>
          </w:p>
        </w:tc>
        <w:tc>
          <w:tcPr>
            <w:tcW w:w="9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99.3</w:t>
            </w:r>
          </w:p>
        </w:tc>
        <w:tc>
          <w:tcPr>
            <w:tcW w:w="80" w:type="dxa"/>
            <w:vAlign w:val="bottom"/>
          </w:tcPr>
          <w:p>
            <w:pPr>
              <w:spacing w:after="0"/>
              <w:rPr>
                <w:sz w:val="14"/>
                <w:szCs w:val="14"/>
                <w:color w:val="auto"/>
              </w:rPr>
            </w:pP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108.8</w:t>
            </w:r>
          </w:p>
        </w:tc>
        <w:tc>
          <w:tcPr>
            <w:tcW w:w="100" w:type="dxa"/>
            <w:vAlign w:val="bottom"/>
          </w:tcPr>
          <w:p>
            <w:pPr>
              <w:spacing w:after="0"/>
              <w:rPr>
                <w:sz w:val="14"/>
                <w:szCs w:val="14"/>
                <w:color w:val="auto"/>
              </w:rPr>
            </w:pPr>
          </w:p>
        </w:tc>
        <w:tc>
          <w:tcPr>
            <w:tcW w:w="90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135.0</w:t>
            </w:r>
          </w:p>
        </w:tc>
        <w:tc>
          <w:tcPr>
            <w:tcW w:w="100" w:type="dxa"/>
            <w:vAlign w:val="bottom"/>
          </w:tcPr>
          <w:p>
            <w:pPr>
              <w:spacing w:after="0"/>
              <w:rPr>
                <w:sz w:val="14"/>
                <w:szCs w:val="14"/>
                <w:color w:val="auto"/>
              </w:rPr>
            </w:pPr>
          </w:p>
        </w:tc>
        <w:tc>
          <w:tcPr>
            <w:tcW w:w="90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149.6</w:t>
            </w:r>
          </w:p>
        </w:tc>
        <w:tc>
          <w:tcPr>
            <w:tcW w:w="80" w:type="dxa"/>
            <w:vAlign w:val="bottom"/>
          </w:tcPr>
          <w:p>
            <w:pPr>
              <w:spacing w:after="0"/>
              <w:rPr>
                <w:sz w:val="14"/>
                <w:szCs w:val="14"/>
                <w:color w:val="auto"/>
              </w:rPr>
            </w:pPr>
          </w:p>
        </w:tc>
        <w:tc>
          <w:tcPr>
            <w:tcW w:w="92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186.5</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27.6 %</w:t>
            </w:r>
          </w:p>
        </w:tc>
      </w:tr>
      <w:tr>
        <w:trPr>
          <w:trHeight w:val="350"/>
        </w:trPr>
        <w:tc>
          <w:tcPr>
            <w:tcW w:w="9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28.0 %</w:t>
            </w:r>
          </w:p>
        </w:tc>
        <w:tc>
          <w:tcPr>
            <w:tcW w:w="80" w:type="dxa"/>
            <w:vAlign w:val="bottom"/>
          </w:tcPr>
          <w:p>
            <w:pPr>
              <w:spacing w:after="0"/>
              <w:rPr>
                <w:sz w:val="24"/>
                <w:szCs w:val="24"/>
                <w:color w:val="auto"/>
              </w:rPr>
            </w:pPr>
          </w:p>
        </w:tc>
        <w:tc>
          <w:tcPr>
            <w:tcW w:w="900" w:type="dxa"/>
            <w:vAlign w:val="bottom"/>
          </w:tcPr>
          <w:p>
            <w:pPr>
              <w:ind w:left="520"/>
              <w:spacing w:after="0"/>
              <w:rPr>
                <w:sz w:val="20"/>
                <w:szCs w:val="20"/>
                <w:color w:val="auto"/>
              </w:rPr>
            </w:pPr>
            <w:r>
              <w:rPr>
                <w:rFonts w:ascii="Times New Roman" w:cs="Times New Roman" w:eastAsia="Times New Roman" w:hAnsi="Times New Roman"/>
                <w:sz w:val="13"/>
                <w:szCs w:val="13"/>
                <w:color w:val="auto"/>
                <w:w w:val="97"/>
              </w:rPr>
              <w:t>64.2 %</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39.5 %</w:t>
            </w:r>
          </w:p>
        </w:tc>
        <w:tc>
          <w:tcPr>
            <w:tcW w:w="80" w:type="dxa"/>
            <w:vAlign w:val="bottom"/>
          </w:tcPr>
          <w:p>
            <w:pPr>
              <w:spacing w:after="0"/>
              <w:rPr>
                <w:sz w:val="24"/>
                <w:szCs w:val="24"/>
                <w:color w:val="auto"/>
              </w:rPr>
            </w:pPr>
          </w:p>
        </w:tc>
        <w:tc>
          <w:tcPr>
            <w:tcW w:w="9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28.3 %</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24.1 %</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10.8 %</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24.7 %</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0"/>
        </w:trPr>
        <w:tc>
          <w:tcPr>
            <w:tcW w:w="9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25.3 %</w:t>
            </w:r>
          </w:p>
        </w:tc>
        <w:tc>
          <w:tcPr>
            <w:tcW w:w="80" w:type="dxa"/>
            <w:vAlign w:val="bottom"/>
          </w:tcPr>
          <w:p>
            <w:pPr>
              <w:spacing w:after="0"/>
              <w:rPr>
                <w:sz w:val="24"/>
                <w:szCs w:val="24"/>
                <w:color w:val="auto"/>
              </w:rPr>
            </w:pPr>
          </w:p>
        </w:tc>
        <w:tc>
          <w:tcPr>
            <w:tcW w:w="900" w:type="dxa"/>
            <w:vAlign w:val="bottom"/>
          </w:tcPr>
          <w:p>
            <w:pPr>
              <w:ind w:left="520"/>
              <w:spacing w:after="0"/>
              <w:rPr>
                <w:sz w:val="20"/>
                <w:szCs w:val="20"/>
                <w:color w:val="auto"/>
              </w:rPr>
            </w:pPr>
            <w:r>
              <w:rPr>
                <w:rFonts w:ascii="Times New Roman" w:cs="Times New Roman" w:eastAsia="Times New Roman" w:hAnsi="Times New Roman"/>
                <w:sz w:val="13"/>
                <w:szCs w:val="13"/>
                <w:color w:val="auto"/>
                <w:w w:val="97"/>
              </w:rPr>
              <w:t>32.5 %</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8.3 %</w:t>
            </w:r>
          </w:p>
        </w:tc>
        <w:tc>
          <w:tcPr>
            <w:tcW w:w="80" w:type="dxa"/>
            <w:vAlign w:val="bottom"/>
          </w:tcPr>
          <w:p>
            <w:pPr>
              <w:spacing w:after="0"/>
              <w:rPr>
                <w:sz w:val="24"/>
                <w:szCs w:val="24"/>
                <w:color w:val="auto"/>
              </w:rPr>
            </w:pPr>
          </w:p>
        </w:tc>
        <w:tc>
          <w:tcPr>
            <w:tcW w:w="9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24.4 %</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6.7 %</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6.2 %</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tcPr>
          <w:p>
            <w:pPr>
              <w:spacing w:after="0"/>
              <w:rPr>
                <w:sz w:val="16"/>
                <w:szCs w:val="16"/>
                <w:color w:val="auto"/>
              </w:rPr>
            </w:pPr>
          </w:p>
        </w:tc>
        <w:tc>
          <w:tcPr>
            <w:tcW w:w="9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(14.2)</w:t>
            </w:r>
          </w:p>
        </w:tc>
        <w:tc>
          <w:tcPr>
            <w:tcW w:w="100" w:type="dxa"/>
            <w:vAlign w:val="bottom"/>
          </w:tcPr>
          <w:p>
            <w:pPr>
              <w:spacing w:after="0"/>
              <w:rPr>
                <w:sz w:val="16"/>
                <w:szCs w:val="16"/>
                <w:color w:val="auto"/>
              </w:rPr>
            </w:pPr>
          </w:p>
        </w:tc>
        <w:tc>
          <w:tcPr>
            <w:tcW w:w="90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tcPr>
          <w:p>
            <w:pPr>
              <w:spacing w:after="0"/>
              <w:rPr>
                <w:sz w:val="16"/>
                <w:szCs w:val="16"/>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(39.0)</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31.5</w:t>
            </w:r>
          </w:p>
        </w:tc>
        <w:tc>
          <w:tcPr>
            <w:tcW w:w="100" w:type="dxa"/>
            <w:vAlign w:val="bottom"/>
          </w:tcPr>
          <w:p>
            <w:pPr>
              <w:spacing w:after="0"/>
              <w:rPr>
                <w:sz w:val="16"/>
                <w:szCs w:val="16"/>
                <w:color w:val="auto"/>
              </w:rPr>
            </w:pPr>
          </w:p>
        </w:tc>
        <w:tc>
          <w:tcPr>
            <w:tcW w:w="90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35.4</w:t>
            </w:r>
          </w:p>
        </w:tc>
        <w:tc>
          <w:tcPr>
            <w:tcW w:w="100" w:type="dxa"/>
            <w:vAlign w:val="bottom"/>
          </w:tcPr>
          <w:p>
            <w:pPr>
              <w:spacing w:after="0"/>
              <w:rPr>
                <w:sz w:val="16"/>
                <w:szCs w:val="16"/>
                <w:color w:val="auto"/>
              </w:rPr>
            </w:pPr>
          </w:p>
        </w:tc>
        <w:tc>
          <w:tcPr>
            <w:tcW w:w="90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38.6</w:t>
            </w:r>
          </w:p>
        </w:tc>
        <w:tc>
          <w:tcPr>
            <w:tcW w:w="80" w:type="dxa"/>
            <w:vAlign w:val="bottom"/>
          </w:tcPr>
          <w:p>
            <w:pPr>
              <w:spacing w:after="0"/>
              <w:rPr>
                <w:sz w:val="16"/>
                <w:szCs w:val="16"/>
                <w:color w:val="auto"/>
              </w:rPr>
            </w:pPr>
          </w:p>
        </w:tc>
        <w:tc>
          <w:tcPr>
            <w:tcW w:w="92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45.4</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4"/>
              </w:rPr>
              <w:t>(13.8)%</w:t>
            </w:r>
          </w:p>
        </w:tc>
        <w:tc>
          <w:tcPr>
            <w:tcW w:w="100" w:type="dxa"/>
            <w:vAlign w:val="bottom"/>
          </w:tcPr>
          <w:p>
            <w:pPr>
              <w:spacing w:after="0"/>
              <w:rPr>
                <w:sz w:val="16"/>
                <w:szCs w:val="16"/>
                <w:color w:val="auto"/>
              </w:rPr>
            </w:pPr>
          </w:p>
        </w:tc>
        <w:tc>
          <w:tcPr>
            <w:tcW w:w="90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4"/>
              </w:rPr>
              <w:t>(10.6)%</w:t>
            </w:r>
          </w:p>
        </w:tc>
        <w:tc>
          <w:tcPr>
            <w:tcW w:w="100" w:type="dxa"/>
            <w:vAlign w:val="bottom"/>
          </w:tcPr>
          <w:p>
            <w:pPr>
              <w:spacing w:after="0"/>
              <w:rPr>
                <w:sz w:val="16"/>
                <w:szCs w:val="16"/>
                <w:color w:val="auto"/>
              </w:rPr>
            </w:pPr>
          </w:p>
        </w:tc>
        <w:tc>
          <w:tcPr>
            <w:tcW w:w="90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99"/>
              </w:rPr>
              <w:t>(16.0)%</w:t>
            </w:r>
          </w:p>
        </w:tc>
        <w:tc>
          <w:tcPr>
            <w:tcW w:w="80" w:type="dxa"/>
            <w:vAlign w:val="bottom"/>
          </w:tcPr>
          <w:p>
            <w:pPr>
              <w:spacing w:after="0"/>
              <w:rPr>
                <w:sz w:val="16"/>
                <w:szCs w:val="16"/>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9"/>
              </w:rPr>
              <w:t>(20.9)%</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29.0 %</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26.2 %</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25.8 %</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24.3 %</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50"/>
        </w:trPr>
        <w:tc>
          <w:tcPr>
            <w:tcW w:w="9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25.9 %</w:t>
            </w:r>
          </w:p>
        </w:tc>
        <w:tc>
          <w:tcPr>
            <w:tcW w:w="80" w:type="dxa"/>
            <w:vAlign w:val="bottom"/>
          </w:tcPr>
          <w:p>
            <w:pPr>
              <w:spacing w:after="0"/>
              <w:rPr>
                <w:sz w:val="24"/>
                <w:szCs w:val="24"/>
                <w:color w:val="auto"/>
              </w:rPr>
            </w:pPr>
          </w:p>
        </w:tc>
        <w:tc>
          <w:tcPr>
            <w:tcW w:w="900" w:type="dxa"/>
            <w:vAlign w:val="bottom"/>
          </w:tcPr>
          <w:p>
            <w:pPr>
              <w:ind w:left="520"/>
              <w:spacing w:after="0"/>
              <w:rPr>
                <w:sz w:val="20"/>
                <w:szCs w:val="20"/>
                <w:color w:val="auto"/>
              </w:rPr>
            </w:pPr>
            <w:r>
              <w:rPr>
                <w:rFonts w:ascii="Times New Roman" w:cs="Times New Roman" w:eastAsia="Times New Roman" w:hAnsi="Times New Roman"/>
                <w:sz w:val="13"/>
                <w:szCs w:val="13"/>
                <w:color w:val="auto"/>
                <w:w w:val="97"/>
              </w:rPr>
              <w:t>17.9 %</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12.3 %</w:t>
            </w:r>
          </w:p>
        </w:tc>
        <w:tc>
          <w:tcPr>
            <w:tcW w:w="80" w:type="dxa"/>
            <w:vAlign w:val="bottom"/>
          </w:tcPr>
          <w:p>
            <w:pPr>
              <w:spacing w:after="0"/>
              <w:rPr>
                <w:sz w:val="24"/>
                <w:szCs w:val="24"/>
                <w:color w:val="auto"/>
              </w:rPr>
            </w:pPr>
          </w:p>
        </w:tc>
        <w:tc>
          <w:tcPr>
            <w:tcW w:w="9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14.7 %</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11.0 %</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10.8 %</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8.7 %</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-1164590</wp:posOffset>
            </wp:positionH>
            <wp:positionV relativeFrom="paragraph">
              <wp:posOffset>-1270000</wp:posOffset>
            </wp:positionV>
            <wp:extent cx="6771005" cy="128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1005" cy="128270"/>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-919480</wp:posOffset>
            </wp:positionV>
            <wp:extent cx="6771005" cy="2222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1005" cy="222250"/>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-575945</wp:posOffset>
            </wp:positionV>
            <wp:extent cx="6771005" cy="121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1005" cy="1212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-333375</wp:posOffset>
            </wp:positionV>
            <wp:extent cx="6771005" cy="121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1005" cy="121285"/>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1760" w:space="80"/>
            <w:col w:w="9380"/>
          </w:cols>
          <w:pgMar w:left="300" w:top="123"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59" w:lineRule="exact"/>
        <w:rPr>
          <w:sz w:val="20"/>
          <w:szCs w:val="20"/>
          <w:color w:val="auto"/>
        </w:rPr>
      </w:pPr>
    </w:p>
    <w:p>
      <w:pPr>
        <w:ind w:left="500" w:hanging="431"/>
        <w:spacing w:after="0"/>
        <w:tabs>
          <w:tab w:leader="none" w:pos="50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has presented Adjusted EBITDA from 2022 onwards only as prior to 2022 the Company was formed as a partnership with profits being distributed to the partners.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History</w:t>
      </w:r>
    </w:p>
    <w:p>
      <w:pPr>
        <w:spacing w:after="0" w:line="18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were founded in 2014 to create a company to bring together firms focused on strategic communications and government relations to address the complexity and costs facing corporate and non-profit entities in managing increasingly complicated and interdependent public policy and reputational challenges. The founders—a group of experienced federal government relations professionals and communications practitioners—believed that such a group would be capable of achieving higher revenue and profit margins in a highly fragmented and specialized industry through wider geographic reach and larger scale service capabilities. Our founders recognized the continuing increase in both corporate and non-profit spending on strategic consulting, including government relations and public affairs, and sought to benefit from this increase by integrating premium services, deep issue and policy expertise, and the geographic reach necessary to provide clients with a full suite of critical stakeholder solutions.</w:t>
      </w:r>
    </w:p>
    <w:p>
      <w:pPr>
        <w:spacing w:after="0" w:line="103"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Drawing on prior experience at WPP plc and other advertising and public relations (“PR”) companies, the founders established a series of independently branded and managed vertical operating subsidiaries for better client management, conflict management, and talent retention, while achieving financial and operational synergies, savings and scalability within the Company group.</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2021, our Common Stock was listed on the AIM of the London Stock Exchange, under the symbol “PPHC.L,” where it remains listed.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2026, our Common Stock was listed on the Nasdaq Global Market, under the symbol “PPHC,” where it remains listed.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Key developments in our history are outlined below: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Service Expansion /Acquisition</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i w:val="1"/>
                <w:iCs w:val="1"/>
                <w:color w:val="auto"/>
              </w:rPr>
              <w:t>Date</w:t>
            </w:r>
          </w:p>
        </w:tc>
        <w:tc>
          <w:tcPr>
            <w:tcW w:w="5440" w:type="dxa"/>
            <w:vAlign w:val="bottom"/>
          </w:tcPr>
          <w:p>
            <w:pPr>
              <w:ind w:left="2500"/>
              <w:spacing w:after="0"/>
              <w:rPr>
                <w:sz w:val="20"/>
                <w:szCs w:val="20"/>
                <w:color w:val="auto"/>
              </w:rPr>
            </w:pPr>
            <w:r>
              <w:rPr>
                <w:rFonts w:ascii="Times New Roman" w:cs="Times New Roman" w:eastAsia="Times New Roman" w:hAnsi="Times New Roman"/>
                <w:sz w:val="11"/>
                <w:szCs w:val="11"/>
                <w:b w:val="1"/>
                <w:bCs w:val="1"/>
                <w:i w:val="1"/>
                <w:iCs w:val="1"/>
                <w:color w:val="auto"/>
              </w:rPr>
              <w:t>Rationale</w:t>
            </w:r>
          </w:p>
        </w:tc>
      </w:tr>
      <w:tr>
        <w:trPr>
          <w:trHeight w:val="30"/>
        </w:trPr>
        <w:tc>
          <w:tcPr>
            <w:tcW w:w="3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181"/>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Founding firms Crossroads and Forbes Tate combine to create</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July 2014</w:t>
            </w: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The combination of the two businesses to create PPHC-LLC</w:t>
            </w:r>
          </w:p>
        </w:tc>
      </w:tr>
      <w:tr>
        <w:trPr>
          <w:trHeight w:val="165"/>
        </w:trPr>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PPHC-LLC</w:t>
            </w: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40" w:type="dxa"/>
            <w:vAlign w:val="bottom"/>
          </w:tcPr>
          <w:p>
            <w:pPr>
              <w:spacing w:after="0"/>
              <w:rPr>
                <w:sz w:val="14"/>
                <w:szCs w:val="14"/>
                <w:color w:val="auto"/>
              </w:rPr>
            </w:pPr>
          </w:p>
        </w:tc>
      </w:tr>
      <w:tr>
        <w:trPr>
          <w:trHeight w:val="227"/>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Forbes Tate expands into public affairs with senior hires</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July 2014</w:t>
            </w: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Forbes Tate begins organic buildout of a complementary public affairs component through talent</w:t>
            </w:r>
          </w:p>
        </w:tc>
      </w:tr>
      <w:tr>
        <w:trPr>
          <w:trHeight w:val="165"/>
        </w:trPr>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acquisition, initially concentrating on social media conversation management</w:t>
            </w:r>
          </w:p>
        </w:tc>
      </w:tr>
      <w:tr>
        <w:trPr>
          <w:trHeight w:val="244"/>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JDA Frontline</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July 2015</w:t>
            </w: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JDA Frontline joined PPHC as its first public affairs and wider strategic communications business</w:t>
            </w:r>
          </w:p>
        </w:tc>
      </w:tr>
      <w:tr>
        <w:trPr>
          <w:trHeight w:val="217"/>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Capitol Strategies</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December 2016</w:t>
            </w: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w w:val="98"/>
              </w:rPr>
              <w:t>Crossroads merged with Capitol Strategies to expand advocacy capabilities on behalf of clients across the</w:t>
            </w:r>
          </w:p>
        </w:tc>
      </w:tr>
      <w:tr>
        <w:trPr>
          <w:trHeight w:val="165"/>
        </w:trPr>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political spectrum</w:t>
            </w:r>
          </w:p>
        </w:tc>
      </w:tr>
      <w:tr>
        <w:trPr>
          <w:trHeight w:val="227"/>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Blue Engine Message and Media</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November 2018</w:t>
            </w: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w w:val="99"/>
              </w:rPr>
              <w:t>Blue Engine Message and Media merges with JDA Frontline to later rebrand as Seven Letter, expanding</w:t>
            </w:r>
          </w:p>
        </w:tc>
      </w:tr>
      <w:tr>
        <w:trPr>
          <w:trHeight w:val="165"/>
        </w:trPr>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PPHC’s Washington based public affairs, data research and media management capabilities</w:t>
            </w:r>
          </w:p>
        </w:tc>
      </w:tr>
      <w:tr>
        <w:trPr>
          <w:trHeight w:val="227"/>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Forbes Tate adds polling and message testing capability with</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February 2019</w:t>
            </w: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w w:val="97"/>
              </w:rPr>
              <w:t>Forbes Tate continues the expansion of its public affairs component by adding polling and message testing</w:t>
            </w:r>
          </w:p>
        </w:tc>
      </w:tr>
      <w:tr>
        <w:trPr>
          <w:trHeight w:val="165"/>
        </w:trPr>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senior hires</w:t>
            </w: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capabilities</w:t>
            </w:r>
          </w:p>
        </w:tc>
      </w:tr>
      <w:tr>
        <w:trPr>
          <w:trHeight w:val="244"/>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O’Neill</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February 2019</w:t>
            </w: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O’Neill was acquired by PPHC to expand into state lobbying and public affairs</w:t>
            </w:r>
          </w:p>
        </w:tc>
      </w:tr>
      <w:tr>
        <w:trPr>
          <w:trHeight w:val="23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Formation of Seven Letter Labs</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October 2019</w:t>
            </w: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Seven Letter expanded its digital media buying capabilities with the formation of Seven Letter Labs</w:t>
            </w:r>
          </w:p>
        </w:tc>
      </w:tr>
      <w:tr>
        <w:trPr>
          <w:trHeight w:val="217"/>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Alpine</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January 2020</w:t>
            </w: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w w:val="98"/>
              </w:rPr>
              <w:t>Alpine joins PPHC, ultimately giving the Company three of the top twenty federal advocacy firms (out of</w:t>
            </w:r>
          </w:p>
        </w:tc>
      </w:tr>
      <w:tr>
        <w:trPr>
          <w:trHeight w:val="165"/>
        </w:trPr>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a universe of over 2,000 federally registered lobbying firms)</w:t>
            </w:r>
          </w:p>
        </w:tc>
      </w:tr>
      <w:tr>
        <w:trPr>
          <w:trHeight w:val="227"/>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Former Senate Majority Leader Trent Lott and Senator John</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June 2020</w:t>
            </w: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Former Senate Majority Leader Trent Lott and Senator John Breaux joined their lobbying practice with</w:t>
            </w:r>
          </w:p>
        </w:tc>
      </w:tr>
      <w:tr>
        <w:trPr>
          <w:trHeight w:val="165"/>
        </w:trPr>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Breaux’s lobbying practice</w:t>
            </w: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Crossroads, further developing its credentials</w:t>
            </w:r>
          </w:p>
        </w:tc>
      </w:tr>
      <w:tr>
        <w:trPr>
          <w:trHeight w:val="227"/>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Alpine Advisors is formed with the addition of former U. S.</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February 2021</w:t>
            </w: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w w:val="97"/>
              </w:rPr>
              <w:t>Former Chairman Greg Walden joined the Company to broaden our capabilities through strategic advisory</w:t>
            </w:r>
          </w:p>
        </w:tc>
      </w:tr>
      <w:tr>
        <w:trPr>
          <w:trHeight w:val="165"/>
        </w:trPr>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House Commerce Chairman Greg Walden</w:t>
            </w: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and consulting services</w:t>
            </w:r>
          </w:p>
        </w:tc>
      </w:tr>
      <w:tr>
        <w:trPr>
          <w:trHeight w:val="227"/>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KP</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October 2022</w:t>
            </w: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Expanded our platform to California with the acquisition of KP, a leading California, government</w:t>
            </w:r>
          </w:p>
        </w:tc>
      </w:tr>
      <w:tr>
        <w:trPr>
          <w:trHeight w:val="165"/>
        </w:trPr>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relations and PR firm</w:t>
            </w:r>
          </w:p>
        </w:tc>
      </w:tr>
      <w:tr>
        <w:trPr>
          <w:trHeight w:val="227"/>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MultiState</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March 2023</w:t>
            </w: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w w:val="98"/>
              </w:rPr>
              <w:t>Acquired MultiState, one of the largest state and local government relations specialists, with a network in</w:t>
            </w:r>
          </w:p>
        </w:tc>
      </w:tr>
      <w:tr>
        <w:trPr>
          <w:trHeight w:val="165"/>
        </w:trPr>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all 50 US states and a comprehensive set of compliance, policy tracking and research capabilities</w:t>
            </w:r>
          </w:p>
        </w:tc>
      </w:tr>
      <w:tr>
        <w:trPr>
          <w:trHeight w:val="227"/>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LPA</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May 2024</w:t>
            </w: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Consolidated our market position in California and increased our expertise in critical sectors including</w:t>
            </w:r>
          </w:p>
        </w:tc>
      </w:tr>
      <w:tr>
        <w:trPr>
          <w:trHeight w:val="159"/>
        </w:trPr>
        <w:tc>
          <w:tcPr>
            <w:tcW w:w="3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w w:val="97"/>
              </w:rPr>
              <w:t>technology, green energy, and healthcare, with the acquisition of LPA, one of California's largest state and</w:t>
            </w:r>
          </w:p>
        </w:tc>
      </w:tr>
      <w:tr>
        <w:trPr>
          <w:trHeight w:val="165"/>
        </w:trPr>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local government relations specialists</w:t>
            </w:r>
          </w:p>
        </w:tc>
      </w:tr>
      <w:tr>
        <w:trPr>
          <w:trHeight w:val="217"/>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Pagefield</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June 2024</w:t>
            </w: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Established foothold outside of the US with the acquisition of Pagefield, a UK-based strategic</w:t>
            </w:r>
          </w:p>
        </w:tc>
      </w:tr>
      <w:tr>
        <w:trPr>
          <w:trHeight w:val="165"/>
        </w:trPr>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communications firm headquartered in London</w:t>
            </w:r>
          </w:p>
        </w:tc>
      </w:tr>
      <w:tr>
        <w:trPr>
          <w:trHeight w:val="227"/>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TrailRunner</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April 2025</w:t>
            </w: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w w:val="98"/>
              </w:rPr>
              <w:t>Acquired TrailRunner, a Texas-based global communications advisory firm with additional US offices in</w:t>
            </w:r>
          </w:p>
        </w:tc>
      </w:tr>
      <w:tr>
        <w:trPr>
          <w:trHeight w:val="159"/>
        </w:trPr>
        <w:tc>
          <w:tcPr>
            <w:tcW w:w="3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New York, Northern California, and Nashville and international offices in Abu Dhabi, Dubai, London,</w:t>
            </w:r>
          </w:p>
        </w:tc>
      </w:tr>
      <w:tr>
        <w:trPr>
          <w:trHeight w:val="149"/>
        </w:trPr>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and Shanghai, enhancing our capabilities in corporate affairs, financial communications, crisis</w:t>
            </w:r>
          </w:p>
        </w:tc>
      </w:tr>
      <w:tr>
        <w:trPr>
          <w:trHeight w:val="165"/>
        </w:trPr>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communications, litigation communications and reputation management</w:t>
            </w:r>
          </w:p>
        </w:tc>
      </w:tr>
      <w:tr>
        <w:trPr>
          <w:trHeight w:val="227"/>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Pine Cove</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August 2025</w:t>
            </w: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Acquired Pine Cove, a Texas-based strategic consulting firm led by Commissioner George P. Bush,</w:t>
            </w:r>
          </w:p>
        </w:tc>
      </w:tr>
      <w:tr>
        <w:trPr>
          <w:trHeight w:val="159"/>
        </w:trPr>
        <w:tc>
          <w:tcPr>
            <w:tcW w:w="3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adding a Texas state government relations practice. This addition expanded our presence in the</w:t>
            </w:r>
          </w:p>
        </w:tc>
      </w:tr>
      <w:tr>
        <w:trPr>
          <w:trHeight w:val="165"/>
        </w:trPr>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strategically important state to include Austin, TX.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60"/>
          </w:cols>
          <w:pgMar w:left="300" w:top="123" w:right="9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Strengths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offer integrated strategic communications and deep issue expertise across all major sectors of the economy.</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multi-disciplinary advisory services cater to a diverse client base looking to navigate the rapidly evolving stakeholder dynamics across the full spectrum of government relations, corporate communications and public affairs. We have grown and expanded from our initial focus on US federal lobbying to meet clients’ growing needs for corporate communications, public affairs, research, and digital communications to support blue-chip brands looking for a more holistic approach to public affairs and stakeholder management. Through recent acquisitions, we have grown our service offering to encompass state-level government relations in a number of key jurisdictions, and achieved global reach with offices in the UK, Dubai, Abu Dhabi and Shanghai, allowing us to offer clients a truly global platform.</w:t>
      </w:r>
    </w:p>
    <w:p>
      <w:pPr>
        <w:spacing w:after="0" w:line="101"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Through successful M&amp;A and organic development within the member companies, we have also expanded our capabilities in our Corporate Communications &amp; Public Affairs Consulting and Compliance and Insights Services segments, and offer clients a wider range of services in strategic research, media management, compliance management and legislative monitoring.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diversified revenue sources from a blue-chip client base, with a high client retention rate, increasing the predictability of our revenues and cash flows.</w:t>
      </w:r>
    </w:p>
    <w:p>
      <w:pPr>
        <w:spacing w:after="0" w:line="13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We have an active, growing client base of more than 1,400 corporates (including nearly half of the Fortune 100), trade associations and non-governmental organizations in all major sectors of the US and global economy, including healthcare and pharmaceuticals, financial services, energy, technology, telecom and transportation. Most client work is retainer-based, in 2025 representing more than 91% of our client revenue, and as retainers are billed in advance of services, there is little hourly billing. We also benefit from long-term customer relationships, with a Company-wide average annual revenue renewal rate of 86% over the period 2020 to 2025. In the year ended December 31, 2025, 613 client relationships generated revenues equal to or in excess of $100,000, demonstrating the significant depth and scope of our relationships with some of our largest clients. Given the relatively low asset intensity and capex of our business model, combined with historically low debtor issues, our strong revenue visibility and margin profile feed directly into attractive predictability of cash flows.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built an enviable position in a complex market, grounded in broad expertise and trusted by stakeholders across the political spectrum.</w:t>
      </w:r>
    </w:p>
    <w:p>
      <w:pPr>
        <w:spacing w:after="0" w:line="138"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Our deep networks and relationships with figures from across the political spectrum at the federal and state levels in the US and in the UK position PPHC to benefit from continued regulatory and technological disruption, which is expected to positively affect the growth and expansion of the strategic communications market. We are positively situated for acquisitive growth and performance enhancements of our acquired businesses with our established process for sourcing, negotiating and integrating quality, founder-led, small and mid-sized firms.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markets for our original core services, federal and state government relations, are large, fragmented and growing, creating opportunities for us to grow our revenues and seize market share.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Further expansion into strategic communications services, including media management and research, represent much larger potential markets for growth.</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According to US federal government reporting, in 2025, three of our bipartisan member companies ranked among the top 25 federal lobbying firms in the US, with combined disclosed lobbying revenue of approximately $76.1, representing growth of approximately 8.5% over 2024. Yet we still only captured approximately 1.5% of the more than $5.0 billion in federal lobbying expenditure in 2025. Our scale and the relatively fragmented nature of this market suggest there is significant runway for us to continue to grow our core business, both organically and through strategic acquisitions. US federal lobbying expenditure saw record growth of approximately 14% in 2025, driven by significant changes to federal policies and spending priorities and considerable political polarization, a trend which seems likely to continue.</w:t>
      </w:r>
    </w:p>
    <w:p>
      <w:pPr>
        <w:spacing w:after="0" w:line="101"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In addition, the US state lobbying market, estimated to represent more than $2.2 billion in spending, also presents opportunities, with state regulatory agendas having a major impact on our clients and, as in the case of California, sometimes acting as the national standard setter in various regulatory areas. We have made significant inroads to certain key states, including California, Texas and Massachusetts, through our acquisitions of O’Neill, LPA, MultiState, KP and Pine Cove, but believe there are further opportunities to expand in key states such as New York and Florida.</w:t>
      </w:r>
    </w:p>
    <w:p>
      <w:pPr>
        <w:spacing w:after="0" w:line="93"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We have also grown our practice capabilities to provide clients a broad range of services, including corporate communications and public affairs. We estimate that global public affairs spend was approximately $5.6 billion in 2025,</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with global corporate communications spend at approximately $8.4 billion. The latter, which covers corporate, crisis, and financial communications, became a larger part of our offering with the 2025 acquisition of TrailRunner.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proven track record of successful strategic acquisitions and integration.</w:t>
      </w:r>
    </w:p>
    <w:p>
      <w:pPr>
        <w:spacing w:after="0" w:line="13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From January 1, 2018, to December 31, 2025, we achieved revenue growth of 27.6% CAGR, with organic revenue growth of 15.0% CAGR over the same period. Expanding from our early member companies—Forbes Tate, Alpine Group and Crossroad Strategies, which have been ranked consistently in the top 20 federal lobbying firms since their inception and maintain a high market share despite a highly fragmented market—we have successfully integrated numerous member companies since 2021. While retaining their distinctive company cultures and operating-level management, newly acquired companies benefit from top-line synergies, driven by complementary service lines and geographic collaboration with our other member companies, and cost synergies driven by adoption of certain back-office tasks as well as procurement in certain areas by our central team.</w:t>
      </w:r>
    </w:p>
    <w:p>
      <w:pPr>
        <w:spacing w:after="0" w:line="10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Member company employees also benefit from the ability to receive equity in the Company through the incentive plan (the "Omnibus Incentive Plan"), as well as broader career progression and personal development opportunities as part of a growing, publicly listed and international group. The positive results of this approach are illustrated in the post-acquisition performance of some of our key member companies.</w:t>
      </w:r>
    </w:p>
    <w:p>
      <w:pPr>
        <w:spacing w:after="0" w:line="9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Our typical acquisition structure involves paying an upfront consideration amount in combination with multiple earnout payments over a longer period and which only materialize if the acquired company grows profit following acquisition by us. Consideration typically involves a mix of cash and shares, and a significant portion of the deferred consideration is conditional upon continued employment by the relevant sellers, typically for around 7-9 years (including earnout period and vesting tail). The benefits of deploying earnouts and payments in shares include risk mitigation, since the price we pay is ultimately based on future results. This approach also has the potential to limit the dilutive effect of larger acquisitions, since under our acquisition agreements the number of shares issued as earnout consideration is typically determined by reference to our future share price at the time of the earnout payment (rather than the share price at the time of the acquisition). As a result of the valuations applied, acquisitions typically generate profits over the earnout period equivalent to approximately 60-80% of the acquisition price paid (and ~80%-100% of cash paid), the precise number being dependent on profit growth realized during the earnout period and the valuation multiples applied. In addition, if an acquired company only has a small number of owner/sellers, we typically require that part of the earnout payments will be allocated to next-generation management. Overall, this acquisition approach results in a situation where sellers and next-generation management become “owners” of PPHC and have a vested interest in our success.</w:t>
      </w:r>
    </w:p>
    <w:p>
      <w:pPr>
        <w:spacing w:after="0" w:line="104"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Our acquisition strategy is focused on enhancing our capabilities, establishing new verticals within new geographies, new related offerings and managing conflicts across the client portfolio. We intend to target complementary companies and talent groups that (1) have best-in-class ethical and compliance standards, (2) can grow our market share and diversification, (3) have an attractive financial profile, and are accretive and value-additive, helping us to maintain group-wide margins and (4) offer long-term business benefits and opportunities to capitalize on economies of scale by leveraging each member company’s management, clients, brand and goodwill.</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operating model is efficient and, we believe, attractive to potential acquisition targets.</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operating model, to date, is to allow member companies and their management teams to continue to operate with appropriate strategic discretion within the parent company model. This paradigm allows the existing founders and managers to continue to run their companies, while receiving financial and operational infrastructure and support, clear reporting and financial management targets and other professional support. We believe this model achieves operational economies of scale and liberates founders and managers to place even greater focus on their clients’ needs and opportunities, improving both the quality of their services and their bottom line. While certain of our member companies compete in the same markets, each member company brings to the table a different experience, expertise and relationship profile for clients to choose from, increasing the likelihood that we as a group will win new work.</w:t>
      </w:r>
    </w:p>
    <w:p>
      <w:pPr>
        <w:spacing w:after="0" w:line="10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Having established a client relationship, member companies may then find opportunities and are financially incentivized to cross-refer the client to other member companies with complementary capabilities and industry focuses in response to client needs, increasing the aggregate basket of services contracted to us. By maintaining operationally distinct member companies subject to strict client matter screens to protect client confidential information, we are also able to effectively manage potential conflicts within the Company, such that one member company is often able to work on a matter that would present conflicts for another member company, further enhancing our market coverage. Indeed, maintaining and reinforcing our robust conflicts procedures remains a key focus for us as the business grows, reflected in our recent hiring of a chief client officer responsible for conflicts management.</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believe our status as a publicly traded company increases our attractiveness to both potential employees and acquisition targets, supporting the hiring and retention of top talent and further growth through strategic acquisitions with share-based incentives.</w:t>
      </w:r>
    </w:p>
    <w:p>
      <w:pPr>
        <w:spacing w:after="0" w:line="8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In addition to our attractive operating model, we believe our being quoted on AIM, and our recent US listing on Nasdaq, increases our attractiveness to both potential employees and acquisition targets by providing a high degree of transparency with regard to corporate governance, financial performance and business development, and potentially supporting greater liquidity for our Common Stock, allowing us to use our Common Stock as an attractive form of consideration for potential acquisitions and compensation for employees. We believe this step will help support the continued growth of our business through strategic acquisitions and the hiring and retention of market leading consultants.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highly experienced, entrepreneurial management teams.</w:t>
      </w:r>
    </w:p>
    <w:p>
      <w:pPr>
        <w:spacing w:after="0" w:line="138"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Our management teams bring decades of operational expertise across multiple sectors and with a wide range of capabilities, along with significant experience and track records in scaling services businesses.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maintain high ethical and compliance standards.</w:t>
      </w:r>
    </w:p>
    <w:p>
      <w:pPr>
        <w:spacing w:after="0" w:line="13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Lobbying is a highly regulated industry and robust compliance systems and procedures are essential to continuing and growing our business. Success in our industry also depends to a high degree on relationships of trust, the avoidance of real or perceived conflicts and maintaining a reputation for high ethical standards. We are committed to high ethical and compliance standards, with detailed due diligence on any target to ensure its compliance and ethical standards align with the existing member companies within the Company.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Strategy for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Continue to leverage the benefits of our diversified service offering and client base and realize scale benefits on behalf of all of our acquired companies.</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Our Government Relations Consulting revenue (including our federal and state lobbying activities) represented approximately 58% of our total revenue for 2025. This revenue has proven to be highly resilient to economic and political cycles, through which we have continued to be retained by the most senior of corporate leaders, and serves as a great basis for the growth of other, related offerings. Our strategy is to maintain this core offering, which provides a very high degree of client retention (with an average annual client renewal rate of approximately 77% and an average revenue retention of 86% between 2020 to 2025) and strategic differentiation, while also growing related high-margin corporate communications and advisory capabilities. We believe the growing scale and reach of our platform creates opportunities for cross-selling services and integrated project management across geographies and service offerings, allowing us to meet a broader range of client needs. To facilitate this end, we intend to work with our employees to enhance collaboration across member companies and to focus on growing our group-wide data analysis and use of research tools, including AI, via continued investment in policy advisory and digital capabilities, talent acquisition, and employee training and certifications.</w:t>
      </w:r>
    </w:p>
    <w:p>
      <w:pPr>
        <w:spacing w:after="0" w:line="104" w:lineRule="exact"/>
        <w:rPr>
          <w:sz w:val="20"/>
          <w:szCs w:val="20"/>
          <w:color w:val="auto"/>
        </w:rPr>
      </w:pPr>
    </w:p>
    <w:p>
      <w:pPr>
        <w:jc w:val="both"/>
        <w:ind w:right="400"/>
        <w:spacing w:after="0" w:line="270" w:lineRule="auto"/>
        <w:rPr>
          <w:sz w:val="20"/>
          <w:szCs w:val="20"/>
          <w:color w:val="auto"/>
        </w:rPr>
      </w:pPr>
      <w:r>
        <w:rPr>
          <w:rFonts w:ascii="Times New Roman" w:cs="Times New Roman" w:eastAsia="Times New Roman" w:hAnsi="Times New Roman"/>
          <w:sz w:val="14"/>
          <w:szCs w:val="14"/>
          <w:color w:val="auto"/>
        </w:rPr>
        <w:t>We also expect to continue to leverage our expanded scope of services at the US state and international levels. In recent years, we have dramatically expanded our capabilities at state and local government levels through the acquisitions of KP, LPA, MultiState and Pine Cove, as well as extending our reach internationally into the UK and Asia through the acquisitions of Pagefield and TrailRunner.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Expand our geographic reach and depth and breadth of expertise through strategic acquisitions.</w:t>
      </w:r>
    </w:p>
    <w:p>
      <w:pPr>
        <w:spacing w:after="0" w:line="138"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We believe that the key to our future growth and ongoing success is through the combination of an organic and acquisitive growth strategy. An important component of our strategy is to continue to selectively acquire companies within and adjacent to the strategic communications and public policy markets to complement the services of existing member companies, either as additional stand-alone practices or by integrating new talent and capabilities within existing operations. This will also enable us to further enhance organic growth through a mixture of cross-selling, upselling and securing new clients to whom we can provide an increasingly broad offering.</w:t>
      </w:r>
    </w:p>
    <w:p>
      <w:pPr>
        <w:spacing w:after="0" w:line="9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We have a structured, effective process for identifying, negotiating and integrating member companies, and believe there is a large universe of value-creating inorganic acquisition opportunities across the various geographies and service capabilities of the Company. We typically have at least 50 potential targets at various stages of review at any point in time, and plan to target acquisitions in the following service areas: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520" w:right="200" w:hanging="6"/>
        <w:spacing w:after="0" w:line="271" w:lineRule="auto"/>
        <w:tabs>
          <w:tab w:leader="none" w:pos="771"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State-based and international public policy lobbying and advisory services: </w:t>
      </w:r>
      <w:r>
        <w:rPr>
          <w:rFonts w:ascii="Times New Roman" w:cs="Times New Roman" w:eastAsia="Times New Roman" w:hAnsi="Times New Roman"/>
          <w:sz w:val="14"/>
          <w:szCs w:val="14"/>
          <w:color w:val="auto"/>
        </w:rPr>
        <w:t>We continually evaluate potential acquisition targets in lobbying and additional advisory sectors that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highly ranked within key US state capitals, as well as select international markets that have experienced increased public policy activity by corporates due to the rise of regulations on key industries, increased disclosure requirements for government relations and geographic concentration of key industries.</w:t>
      </w:r>
    </w:p>
    <w:p>
      <w:pPr>
        <w:spacing w:after="0" w:line="91" w:lineRule="exact"/>
        <w:rPr>
          <w:rFonts w:ascii="Times New Roman" w:cs="Times New Roman" w:eastAsia="Times New Roman" w:hAnsi="Times New Roman"/>
          <w:sz w:val="14"/>
          <w:szCs w:val="14"/>
          <w:color w:val="auto"/>
        </w:rPr>
      </w:pPr>
    </w:p>
    <w:p>
      <w:pPr>
        <w:ind w:left="520" w:right="640" w:hanging="6"/>
        <w:spacing w:after="0" w:line="290" w:lineRule="auto"/>
        <w:tabs>
          <w:tab w:leader="none" w:pos="771"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Reputation, financial, crisis and litigation communications: </w:t>
      </w:r>
      <w:r>
        <w:rPr>
          <w:rFonts w:ascii="Times New Roman" w:cs="Times New Roman" w:eastAsia="Times New Roman" w:hAnsi="Times New Roman"/>
          <w:sz w:val="14"/>
          <w:szCs w:val="14"/>
          <w:color w:val="auto"/>
        </w:rPr>
        <w:t>We are actively identifying potential targets that specialize in C-suite issues, such as headline-leading moments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reputational crisis, market-defining financial transactions and major litigation. These targets range from small specialist practices to mid-sized operating agencies.</w:t>
      </w:r>
    </w:p>
    <w:p>
      <w:pPr>
        <w:spacing w:after="0" w:line="77" w:lineRule="exact"/>
        <w:rPr>
          <w:rFonts w:ascii="Times New Roman" w:cs="Times New Roman" w:eastAsia="Times New Roman" w:hAnsi="Times New Roman"/>
          <w:sz w:val="14"/>
          <w:szCs w:val="14"/>
          <w:color w:val="auto"/>
        </w:rPr>
      </w:pPr>
    </w:p>
    <w:p>
      <w:pPr>
        <w:ind w:left="520" w:right="300" w:hanging="6"/>
        <w:spacing w:after="0" w:line="271" w:lineRule="auto"/>
        <w:tabs>
          <w:tab w:leader="none" w:pos="771"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Digital and data analytics services and products: </w:t>
      </w:r>
      <w:r>
        <w:rPr>
          <w:rFonts w:ascii="Times New Roman" w:cs="Times New Roman" w:eastAsia="Times New Roman" w:hAnsi="Times New Roman"/>
          <w:sz w:val="14"/>
          <w:szCs w:val="14"/>
          <w:color w:val="auto"/>
        </w:rPr>
        <w:t>We are actively identifying potential targets that specialize in digital communications and advanced data analytics and expertise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identify, reach and engage with public policy and economic stakeholders and their targeted constituencies. These commercial specializations, some of which are already offered within certain member companies, are rapidly evolving, increasing their effectiveness and raising clients’ expectations.</w:t>
      </w:r>
    </w:p>
    <w:p>
      <w:pPr>
        <w:spacing w:after="0" w:line="9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Historically, we have completed acquisitions through a combination of newly issued equity and cash, with a greater proportion of equity consideration typically allocated to contingent payments than to upfront payments. The cash component has generally been financed, in part, through borrowings under existing credit facilities. Such transactions are commonly structured to include an initial payment at closing and one or more contingent payments based on the post-closing performance of the acquired business. We expect to finance and structure future acquisitions along similar lines.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Expand and upskill digital and data capabilities across the Company to increase productivity and out-deliver near-peers and direct competitors</w:t>
      </w:r>
    </w:p>
    <w:p>
      <w:pPr>
        <w:spacing w:after="0" w:line="13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Digital and data capabilities will continue to transform and disrupt the communications industry at all levels, and we intend to stay ahead of the disruption by investing in ongoing direct capabilities, technology platform partners and enterprise-wide delivery resources. Specifically, in our MultiState brand, we have developed original cloud-based compliance tools, licensed to clients, to aid their filings of federal and state lobbying disclosures and other required documentation. We have also deployed original/custom development to some monitoring, targeting, and stakeholder management solutions. Most of these custom developments are used to build efficiencies in the execution of campaigns and other programs for clients. However, we are increasingly building Company-wide digital resources to best leverage our scale and to effectively respond to our clients’ increasing need for integrated communications solutions.</w:t>
      </w:r>
    </w:p>
    <w:p>
      <w:pPr>
        <w:spacing w:after="0" w:line="10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We foresee opportunities to develop new, non-services-based products that would be based on our original intellectual property and ways of working. As technology and media innovation continues to disrupt traditional methods of public policy influence, digital products such as syndicated research reports, risk landscape assessments, subscription-based news and legislative monitoring services, and custom advertising targeting models for influence are all under active consideration.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Markets and Industry</w:t>
      </w:r>
    </w:p>
    <w:p>
      <w:pPr>
        <w:spacing w:after="0" w:line="181"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We operate in the global strategic communications market. We believe that strategic communications are critically important for the firms that use these services, with purchase decisions typically made at the C-Suite and board levels.</w:t>
      </w:r>
    </w:p>
    <w:p>
      <w:pPr>
        <w:spacing w:after="0" w:line="8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We note that there is significant demand for senior communications and policy expertise by corporates, including registered US federal and state lobbying, international government relations, media and digital content strategy, research and other data services. As such, corporates frequently encounter a disconnected patchwork of internal communications functions and a disparate range of boutique advisors, independent lobbyists, image makers, media handlers and local campaign operatives across federal, state, local and international jurisdictions. We believe that this inefficient solution and highly fragmented market persists, even for some of the largest corporations and coalitions, because the major communications agency networks and global management consultancies have, with few exceptions, failed to compete for and retain senior and experienced talent in these disciplines.</w:t>
      </w:r>
    </w:p>
    <w:p>
      <w:pPr>
        <w:spacing w:after="0" w:line="10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Today, we are focused on expanding our services and capabilities through organic growth and acquisitions, and we believe we are well positioned to benefit from the broadening needs of large, global clients who want and need integrated strategic communications solutions. The rise and evolution of digital and social media platforms have transformed consumer advertising, public relations, stakeholder management and the handling of issues and crises. We expect that corporate clients will continue to demand increased capabilities in the areas of content, media measurement and targeting,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reach and data management to guide their advocacy strategies and minimize risks. We believe we are already well positioned in key areas of digital such as content production, influencer targeting and media activation, and will benefit from Company-wide investments in technology platforms and strategic partnerships in areas such as media buying and advanced data analytics.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illustrates the range of services we can offer our clients to address the full scope of their strategic communications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4284980" cy="1212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84980" cy="1212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Government Relations</w:t>
      </w:r>
    </w:p>
    <w:p>
      <w:pPr>
        <w:spacing w:after="0" w:line="13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Government relations (or “lobbying”) services are aimed at influencing or gathering intelligence on actions, policies, or decisions of government officials and regulators. Lobbying provides access to government regulators and legislators that a single individual or entity may not otherwise achieve. Through grouping individuals’ goals together into a unified aim, companies providing lobbying services represent the interests of multiple organizations. In the US, the Lobbying Disclosure Act (“LDA”) is the primary source of regulation over individuals, corporations, and other entities seeking to influence the direction of policy by the legislative and executive branches of the federal government. The LDA is a disclosure statute that aims to promote transparency regarding the provision of lobbying services by firms and lobbying activities by in-house employees at corporations. State and local lobbying definitions and registration requirements vary from state to state by virtue of state law regulations. (For further information on the LDA and the regulation of the lobbying industry, see “</w:t>
      </w:r>
      <w:r>
        <w:rPr>
          <w:rFonts w:ascii="Times New Roman" w:cs="Times New Roman" w:eastAsia="Times New Roman" w:hAnsi="Times New Roman"/>
          <w:sz w:val="14"/>
          <w:szCs w:val="14"/>
          <w:i w:val="1"/>
          <w:iCs w:val="1"/>
          <w:color w:val="auto"/>
        </w:rPr>
        <w:t>—Governmental Regulation</w:t>
      </w:r>
      <w:r>
        <w:rPr>
          <w:rFonts w:ascii="Times New Roman" w:cs="Times New Roman" w:eastAsia="Times New Roman" w:hAnsi="Times New Roman"/>
          <w:sz w:val="14"/>
          <w:szCs w:val="14"/>
          <w:color w:val="auto"/>
        </w:rPr>
        <w:t>” below.)</w:t>
      </w:r>
    </w:p>
    <w:p>
      <w:pPr>
        <w:spacing w:after="0" w:line="10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Companies, labor unions, trade associations and other influential organizations spend billions of dollars each year to influence government policy and regulatory agencies at the federal, state and local levels. Individual and collective interest groups retain lobbying firms, have registered lobbyists working in-house, or often both.</w:t>
      </w:r>
    </w:p>
    <w:p>
      <w:pPr>
        <w:spacing w:after="0" w:line="82"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The US federal lobbying market is large, with relatively stable growth, with federal top-line spend accounting for the majority of overall spending, at $5.0 billion and employing over 13,000 lobbyists. As shown in the graph below, US federal lobbying expenditure has grown at a CAGR of 4.8% since 1998.</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Total Federal Lobbying Expenditure in the US since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97155</wp:posOffset>
            </wp:positionV>
            <wp:extent cx="2842895" cy="15830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42895" cy="158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Source: Opensecrets.org.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industry is also highly fragmented. As shown in the table below, according to OpenSecrets.org, the top 25 lobbying firms in the US in 2025 captured 18.3% of the total federal lobbying market.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Lobbying Firm</w:t>
            </w:r>
          </w:p>
        </w:tc>
        <w:tc>
          <w:tcPr>
            <w:tcW w:w="1480" w:type="dxa"/>
            <w:vAlign w:val="bottom"/>
            <w:gridSpan w:val="2"/>
          </w:tcPr>
          <w:p>
            <w:pPr>
              <w:jc w:val="right"/>
              <w:ind w:right="370"/>
              <w:spacing w:after="0"/>
              <w:rPr>
                <w:sz w:val="20"/>
                <w:szCs w:val="20"/>
                <w:color w:val="auto"/>
              </w:rPr>
            </w:pPr>
            <w:r>
              <w:rPr>
                <w:rFonts w:ascii="Times New Roman" w:cs="Times New Roman" w:eastAsia="Times New Roman" w:hAnsi="Times New Roman"/>
                <w:sz w:val="11"/>
                <w:szCs w:val="11"/>
                <w:color w:val="auto"/>
              </w:rPr>
              <w:t>Total Income</w:t>
            </w:r>
          </w:p>
        </w:tc>
        <w:tc>
          <w:tcPr>
            <w:tcW w:w="0" w:type="dxa"/>
            <w:vAlign w:val="bottom"/>
          </w:tcPr>
          <w:p>
            <w:pPr>
              <w:spacing w:after="0"/>
              <w:rPr>
                <w:sz w:val="1"/>
                <w:szCs w:val="1"/>
                <w:color w:val="auto"/>
              </w:rPr>
            </w:pPr>
          </w:p>
        </w:tc>
      </w:tr>
      <w:tr>
        <w:trPr>
          <w:trHeight w:val="155"/>
        </w:trPr>
        <w:tc>
          <w:tcPr>
            <w:tcW w:w="9180" w:type="dxa"/>
            <w:vAlign w:val="bottom"/>
            <w:vMerge w:val="continue"/>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1"/>
                <w:szCs w:val="11"/>
                <w:color w:val="auto"/>
              </w:rPr>
              <w:t>in millions)</w:t>
            </w:r>
          </w:p>
        </w:tc>
        <w:tc>
          <w:tcPr>
            <w:tcW w:w="0" w:type="dxa"/>
            <w:vAlign w:val="bottom"/>
          </w:tcPr>
          <w:p>
            <w:pPr>
              <w:spacing w:after="0"/>
              <w:rPr>
                <w:sz w:val="1"/>
                <w:szCs w:val="1"/>
                <w:color w:val="auto"/>
              </w:rPr>
            </w:pPr>
          </w:p>
        </w:tc>
      </w:tr>
      <w:tr>
        <w:trPr>
          <w:trHeight w:val="22"/>
        </w:trPr>
        <w:tc>
          <w:tcPr>
            <w:tcW w:w="9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Ballard Partners</w:t>
            </w:r>
          </w:p>
        </w:tc>
        <w:tc>
          <w:tcPr>
            <w:tcW w:w="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0" w:type="dxa"/>
            <w:vAlign w:val="bottom"/>
          </w:tcPr>
          <w:p>
            <w:pPr>
              <w:spacing w:after="0"/>
              <w:rPr>
                <w:sz w:val="1"/>
                <w:szCs w:val="1"/>
                <w:color w:val="auto"/>
              </w:rPr>
            </w:pPr>
          </w:p>
        </w:tc>
      </w:tr>
      <w:tr>
        <w:trPr>
          <w:trHeight w:val="212"/>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Brownstein Hyatt et al</w:t>
            </w:r>
          </w:p>
        </w:tc>
        <w:tc>
          <w:tcPr>
            <w:tcW w:w="52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0" w:type="dxa"/>
            <w:vAlign w:val="bottom"/>
          </w:tcPr>
          <w:p>
            <w:pPr>
              <w:spacing w:after="0"/>
              <w:rPr>
                <w:sz w:val="1"/>
                <w:szCs w:val="1"/>
                <w:color w:val="auto"/>
              </w:rPr>
            </w:pPr>
          </w:p>
        </w:tc>
      </w:tr>
      <w:tr>
        <w:trPr>
          <w:trHeight w:val="212"/>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BGR Group</w:t>
            </w:r>
          </w:p>
        </w:tc>
        <w:tc>
          <w:tcPr>
            <w:tcW w:w="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0" w:type="dxa"/>
            <w:vAlign w:val="bottom"/>
          </w:tcPr>
          <w:p>
            <w:pPr>
              <w:spacing w:after="0"/>
              <w:rPr>
                <w:sz w:val="1"/>
                <w:szCs w:val="1"/>
                <w:color w:val="auto"/>
              </w:rPr>
            </w:pPr>
          </w:p>
        </w:tc>
      </w:tr>
      <w:tr>
        <w:trPr>
          <w:trHeight w:val="212"/>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Akin Gump et al</w:t>
            </w:r>
          </w:p>
        </w:tc>
        <w:tc>
          <w:tcPr>
            <w:tcW w:w="52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0" w:type="dxa"/>
            <w:vAlign w:val="bottom"/>
          </w:tcPr>
          <w:p>
            <w:pPr>
              <w:spacing w:after="0"/>
              <w:rPr>
                <w:sz w:val="1"/>
                <w:szCs w:val="1"/>
                <w:color w:val="auto"/>
              </w:rPr>
            </w:pPr>
          </w:p>
        </w:tc>
      </w:tr>
      <w:tr>
        <w:trPr>
          <w:trHeight w:val="212"/>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Cornerstone Government Affairs</w:t>
            </w:r>
          </w:p>
        </w:tc>
        <w:tc>
          <w:tcPr>
            <w:tcW w:w="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212"/>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Holland &amp; Knight</w:t>
            </w:r>
          </w:p>
        </w:tc>
        <w:tc>
          <w:tcPr>
            <w:tcW w:w="52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0" w:type="dxa"/>
            <w:vAlign w:val="bottom"/>
          </w:tcPr>
          <w:p>
            <w:pPr>
              <w:spacing w:after="0"/>
              <w:rPr>
                <w:sz w:val="1"/>
                <w:szCs w:val="1"/>
                <w:color w:val="auto"/>
              </w:rPr>
            </w:pPr>
          </w:p>
        </w:tc>
      </w:tr>
      <w:tr>
        <w:trPr>
          <w:trHeight w:val="212"/>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Miller Strategies</w:t>
            </w:r>
          </w:p>
        </w:tc>
        <w:tc>
          <w:tcPr>
            <w:tcW w:w="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0" w:type="dxa"/>
            <w:vAlign w:val="bottom"/>
          </w:tcPr>
          <w:p>
            <w:pPr>
              <w:spacing w:after="0"/>
              <w:rPr>
                <w:sz w:val="1"/>
                <w:szCs w:val="1"/>
                <w:color w:val="auto"/>
              </w:rPr>
            </w:pPr>
          </w:p>
        </w:tc>
      </w:tr>
      <w:tr>
        <w:trPr>
          <w:trHeight w:val="212"/>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Invariant LLC</w:t>
            </w:r>
          </w:p>
        </w:tc>
        <w:tc>
          <w:tcPr>
            <w:tcW w:w="52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0" w:type="dxa"/>
            <w:vAlign w:val="bottom"/>
          </w:tcPr>
          <w:p>
            <w:pPr>
              <w:spacing w:after="0"/>
              <w:rPr>
                <w:sz w:val="1"/>
                <w:szCs w:val="1"/>
                <w:color w:val="auto"/>
              </w:rPr>
            </w:pPr>
          </w:p>
        </w:tc>
      </w:tr>
      <w:tr>
        <w:trPr>
          <w:trHeight w:val="212"/>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Thorn Run Partners</w:t>
            </w:r>
          </w:p>
        </w:tc>
        <w:tc>
          <w:tcPr>
            <w:tcW w:w="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r>
        <w:trPr>
          <w:trHeight w:val="212"/>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Cassidy &amp; Assoc</w:t>
            </w:r>
          </w:p>
        </w:tc>
        <w:tc>
          <w:tcPr>
            <w:tcW w:w="52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212"/>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Crossroads Strategies (</w:t>
            </w:r>
            <w:r>
              <w:rPr>
                <w:rFonts w:ascii="Times New Roman" w:cs="Times New Roman" w:eastAsia="Times New Roman" w:hAnsi="Times New Roman"/>
                <w:sz w:val="14"/>
                <w:szCs w:val="14"/>
                <w:b w:val="1"/>
                <w:bCs w:val="1"/>
                <w:color w:val="auto"/>
              </w:rPr>
              <w:t>PPHC member company</w:t>
            </w: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212"/>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Mehlman Consulting</w:t>
            </w:r>
          </w:p>
        </w:tc>
        <w:tc>
          <w:tcPr>
            <w:tcW w:w="52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212"/>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Continental Strategy</w:t>
            </w:r>
          </w:p>
        </w:tc>
        <w:tc>
          <w:tcPr>
            <w:tcW w:w="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212"/>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Forbes Tate Partners (</w:t>
            </w:r>
            <w:r>
              <w:rPr>
                <w:rFonts w:ascii="Times New Roman" w:cs="Times New Roman" w:eastAsia="Times New Roman" w:hAnsi="Times New Roman"/>
                <w:sz w:val="14"/>
                <w:szCs w:val="14"/>
                <w:b w:val="1"/>
                <w:bCs w:val="1"/>
                <w:color w:val="auto"/>
              </w:rPr>
              <w:t>PPHC member company</w:t>
            </w:r>
            <w:r>
              <w:rPr>
                <w:rFonts w:ascii="Times New Roman" w:cs="Times New Roman" w:eastAsia="Times New Roman" w:hAnsi="Times New Roman"/>
                <w:sz w:val="14"/>
                <w:szCs w:val="14"/>
                <w:color w:val="auto"/>
              </w:rPr>
              <w:t>)</w:t>
            </w:r>
          </w:p>
        </w:tc>
        <w:tc>
          <w:tcPr>
            <w:tcW w:w="52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212"/>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Mercury</w:t>
            </w:r>
          </w:p>
        </w:tc>
        <w:tc>
          <w:tcPr>
            <w:tcW w:w="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212"/>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Capitol Counsel</w:t>
            </w:r>
          </w:p>
        </w:tc>
        <w:tc>
          <w:tcPr>
            <w:tcW w:w="52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212"/>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S-3 Group</w:t>
            </w:r>
          </w:p>
        </w:tc>
        <w:tc>
          <w:tcPr>
            <w:tcW w:w="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212"/>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Tiber Creek Group</w:t>
            </w:r>
          </w:p>
        </w:tc>
        <w:tc>
          <w:tcPr>
            <w:tcW w:w="52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212"/>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Squire Patton Boggs</w:t>
            </w:r>
          </w:p>
        </w:tc>
        <w:tc>
          <w:tcPr>
            <w:tcW w:w="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212"/>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Strategic Marketing Innovations</w:t>
            </w:r>
          </w:p>
        </w:tc>
        <w:tc>
          <w:tcPr>
            <w:tcW w:w="52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212"/>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Checkmate Government Relations</w:t>
            </w:r>
          </w:p>
        </w:tc>
        <w:tc>
          <w:tcPr>
            <w:tcW w:w="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212"/>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Alpine Group (</w:t>
            </w:r>
            <w:r>
              <w:rPr>
                <w:rFonts w:ascii="Times New Roman" w:cs="Times New Roman" w:eastAsia="Times New Roman" w:hAnsi="Times New Roman"/>
                <w:sz w:val="14"/>
                <w:szCs w:val="14"/>
                <w:b w:val="1"/>
                <w:bCs w:val="1"/>
                <w:color w:val="auto"/>
              </w:rPr>
              <w:t>PPHC member company</w:t>
            </w:r>
            <w:r>
              <w:rPr>
                <w:rFonts w:ascii="Times New Roman" w:cs="Times New Roman" w:eastAsia="Times New Roman" w:hAnsi="Times New Roman"/>
                <w:sz w:val="14"/>
                <w:szCs w:val="14"/>
                <w:color w:val="auto"/>
              </w:rPr>
              <w:t>)</w:t>
            </w:r>
          </w:p>
        </w:tc>
        <w:tc>
          <w:tcPr>
            <w:tcW w:w="52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212"/>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K&amp;L Gates</w:t>
            </w:r>
          </w:p>
        </w:tc>
        <w:tc>
          <w:tcPr>
            <w:tcW w:w="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212"/>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Van Scoyoc Assoc</w:t>
            </w:r>
          </w:p>
        </w:tc>
        <w:tc>
          <w:tcPr>
            <w:tcW w:w="52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212"/>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Mindset Advocacy</w:t>
            </w:r>
          </w:p>
        </w:tc>
        <w:tc>
          <w:tcPr>
            <w:tcW w:w="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Source: OpenSecrets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Segment Government Relations Consulting is reporting higher revenues than number stated in this table, because certain Government Relations Consulting revenues (e.g. State lobbying) not disclosed at the Federal LDA register</w:t>
      </w:r>
    </w:p>
    <w:p>
      <w:pPr>
        <w:spacing w:after="0" w:line="12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As illustrated in the table below, while there is significant overlap between government relations / lobbying and public affairs, lobbying represents a more specific focus in terms of the target audience and the stakeholders. Lobbying as an industry is predominantly focused on communicating with elected, appointed and career officials and their staff members in order to help manage policy outcomes.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366395</wp:posOffset>
            </wp:positionV>
            <wp:extent cx="4204335" cy="22434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04335" cy="224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Spending across the lobbying industry has been robust and is led by a number of national interest groups as well as corporations, with total spend in 2025 of over $5 billion. The top industries by total US federal lobbying expenditure in 2025 are listed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9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Total spend</w:t>
            </w:r>
          </w:p>
        </w:tc>
      </w:tr>
      <w:tr>
        <w:trPr>
          <w:trHeight w:val="149"/>
        </w:trPr>
        <w:tc>
          <w:tcPr>
            <w:tcW w:w="9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40"/>
        </w:trPr>
        <w:tc>
          <w:tcPr>
            <w:tcW w:w="9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3"/>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Pharmaceuticals/Health Products</w:t>
            </w:r>
          </w:p>
        </w:tc>
        <w:tc>
          <w:tcPr>
            <w:tcW w:w="52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w:t>
            </w:r>
          </w:p>
        </w:tc>
      </w:tr>
      <w:tr>
        <w:trPr>
          <w:trHeight w:val="191"/>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Electronics Mfg &amp; Equip</w:t>
            </w:r>
          </w:p>
        </w:tc>
        <w:tc>
          <w:tcPr>
            <w:tcW w:w="52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315.3</w:t>
            </w:r>
          </w:p>
        </w:tc>
      </w:tr>
      <w:tr>
        <w:trPr>
          <w:trHeight w:val="22"/>
        </w:trPr>
        <w:tc>
          <w:tcPr>
            <w:tcW w:w="9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&amp; Investment</w:t>
            </w:r>
          </w:p>
        </w:tc>
        <w:tc>
          <w:tcPr>
            <w:tcW w:w="52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w:t>
            </w:r>
          </w:p>
        </w:tc>
      </w:tr>
      <w:tr>
        <w:trPr>
          <w:trHeight w:val="191"/>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Insurance</w:t>
            </w:r>
          </w:p>
        </w:tc>
        <w:tc>
          <w:tcPr>
            <w:tcW w:w="52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w:t>
            </w:r>
          </w:p>
        </w:tc>
      </w:tr>
      <w:tr>
        <w:trPr>
          <w:trHeight w:val="22"/>
        </w:trPr>
        <w:tc>
          <w:tcPr>
            <w:tcW w:w="9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Air Transport</w:t>
            </w:r>
          </w:p>
        </w:tc>
        <w:tc>
          <w:tcPr>
            <w:tcW w:w="52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w:t>
            </w:r>
          </w:p>
        </w:tc>
      </w:tr>
      <w:tr>
        <w:trPr>
          <w:trHeight w:val="191"/>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Hospitals/Nursing Homes</w:t>
            </w:r>
          </w:p>
        </w:tc>
        <w:tc>
          <w:tcPr>
            <w:tcW w:w="52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w:t>
            </w:r>
          </w:p>
        </w:tc>
      </w:tr>
      <w:tr>
        <w:trPr>
          <w:trHeight w:val="22"/>
        </w:trPr>
        <w:tc>
          <w:tcPr>
            <w:tcW w:w="9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&amp; Gas</w:t>
            </w:r>
          </w:p>
        </w:tc>
        <w:tc>
          <w:tcPr>
            <w:tcW w:w="52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w:t>
            </w:r>
          </w:p>
        </w:tc>
      </w:tr>
      <w:tr>
        <w:trPr>
          <w:trHeight w:val="191"/>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Business Associations</w:t>
            </w:r>
          </w:p>
        </w:tc>
        <w:tc>
          <w:tcPr>
            <w:tcW w:w="52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w:t>
            </w:r>
          </w:p>
        </w:tc>
      </w:tr>
      <w:tr>
        <w:trPr>
          <w:trHeight w:val="22"/>
        </w:trPr>
        <w:tc>
          <w:tcPr>
            <w:tcW w:w="9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Electric Utilities</w:t>
            </w:r>
          </w:p>
        </w:tc>
        <w:tc>
          <w:tcPr>
            <w:tcW w:w="52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w:t>
            </w:r>
          </w:p>
        </w:tc>
      </w:tr>
      <w:tr>
        <w:trPr>
          <w:trHeight w:val="191"/>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Health Services/HMOs</w:t>
            </w:r>
          </w:p>
        </w:tc>
        <w:tc>
          <w:tcPr>
            <w:tcW w:w="52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w:t>
            </w:r>
          </w:p>
        </w:tc>
      </w:tr>
      <w:tr>
        <w:trPr>
          <w:trHeight w:val="22"/>
        </w:trPr>
        <w:tc>
          <w:tcPr>
            <w:tcW w:w="9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Civil Servants/Public Officials</w:t>
            </w:r>
          </w:p>
        </w:tc>
        <w:tc>
          <w:tcPr>
            <w:tcW w:w="52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w:t>
            </w:r>
          </w:p>
        </w:tc>
      </w:tr>
      <w:tr>
        <w:trPr>
          <w:trHeight w:val="191"/>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Misc Manufacturing &amp; Distributing</w:t>
            </w:r>
          </w:p>
        </w:tc>
        <w:tc>
          <w:tcPr>
            <w:tcW w:w="52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w:t>
            </w:r>
          </w:p>
        </w:tc>
      </w:tr>
      <w:tr>
        <w:trPr>
          <w:trHeight w:val="22"/>
        </w:trPr>
        <w:tc>
          <w:tcPr>
            <w:tcW w:w="9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52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r>
      <w:tr>
        <w:trPr>
          <w:trHeight w:val="191"/>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Education</w:t>
            </w:r>
          </w:p>
        </w:tc>
        <w:tc>
          <w:tcPr>
            <w:tcW w:w="52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w:t>
            </w:r>
          </w:p>
        </w:tc>
      </w:tr>
      <w:tr>
        <w:trPr>
          <w:trHeight w:val="22"/>
        </w:trPr>
        <w:tc>
          <w:tcPr>
            <w:tcW w:w="9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Internet</w:t>
            </w:r>
          </w:p>
        </w:tc>
        <w:tc>
          <w:tcPr>
            <w:tcW w:w="52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w:t>
            </w:r>
          </w:p>
        </w:tc>
      </w:tr>
      <w:tr>
        <w:trPr>
          <w:trHeight w:val="191"/>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Telecom Services</w:t>
            </w:r>
          </w:p>
        </w:tc>
        <w:tc>
          <w:tcPr>
            <w:tcW w:w="52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w:t>
            </w:r>
          </w:p>
        </w:tc>
      </w:tr>
      <w:tr>
        <w:trPr>
          <w:trHeight w:val="22"/>
        </w:trPr>
        <w:tc>
          <w:tcPr>
            <w:tcW w:w="9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Automotive</w:t>
            </w:r>
          </w:p>
        </w:tc>
        <w:tc>
          <w:tcPr>
            <w:tcW w:w="52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w:t>
            </w:r>
          </w:p>
        </w:tc>
      </w:tr>
      <w:tr>
        <w:trPr>
          <w:trHeight w:val="191"/>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Health Professionals</w:t>
            </w:r>
          </w:p>
        </w:tc>
        <w:tc>
          <w:tcPr>
            <w:tcW w:w="52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w:t>
            </w:r>
          </w:p>
        </w:tc>
      </w:tr>
      <w:tr>
        <w:trPr>
          <w:trHeight w:val="22"/>
        </w:trPr>
        <w:tc>
          <w:tcPr>
            <w:tcW w:w="9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Misc Defense</w:t>
            </w:r>
          </w:p>
        </w:tc>
        <w:tc>
          <w:tcPr>
            <w:tcW w:w="52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w:t>
            </w:r>
          </w:p>
        </w:tc>
      </w:tr>
      <w:tr>
        <w:trPr>
          <w:trHeight w:val="191"/>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Human Rights</w:t>
            </w:r>
          </w:p>
        </w:tc>
        <w:tc>
          <w:tcPr>
            <w:tcW w:w="52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w:t>
            </w:r>
          </w:p>
        </w:tc>
      </w:tr>
      <w:tr>
        <w:trPr>
          <w:trHeight w:val="238"/>
        </w:trPr>
        <w:tc>
          <w:tcPr>
            <w:tcW w:w="90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47"/>
        </w:trPr>
        <w:tc>
          <w:tcPr>
            <w:tcW w:w="91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Source:   Opensecrets.org.</w:t>
            </w: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r>
    </w:tbl>
    <w:p>
      <w:pPr>
        <w:spacing w:after="0" w:line="12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development of the lobbying industry as defined and regulated within the United States remains at an early stage in Europe, with regulation of lobbying activities being less sophisticated and less formalized. The European Parliament, the Council of the European Union and the European Commission have a joint Transparency Register to demonstrate their commitment to being open and transparent. The Transparency Register makes it easier for people to obtain information on</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interest representation activities taking place in respect of European Union institutions, as well as statistical data on all registered parties. However, this registration process is voluntary and, as yet, not a binding legal requirement.</w:t>
      </w:r>
    </w:p>
    <w:p>
      <w:pPr>
        <w:spacing w:after="0" w:line="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2024, there were over 1,200 organizations on the EU Transparency Register, with a reported 162 organizations spending in excess of €1 million on lobbying activities. The technology sector is the biggest lobby sector in Europe, followed by the banking and finance sector. Matters subject to significant recent lobbying activity in Europe include GDPR and artificial intelligence related legislation and financial regulation. The Organization for Economic Cooperation and Development, with the objective to bolster transparency and integrity, adopted the Principles for Transparency and Integrity in Lobbying in 2010. This is the first international set of guidelines to address transparency and integrity risks related to lobbying practices.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Communications and Public Affairs in the United States</w:t>
      </w:r>
    </w:p>
    <w:p>
      <w:pPr>
        <w:spacing w:after="0" w:line="13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Corporate communications and public affairs services include engaging stakeholders to explain policy, measure and influence perception, or influence sentiment or burnish corporate reputation. These services include crisis communications, financial communications and investor relations, litigation support, community relations, social and digital media, public opinion research, branding and messaging, and relationship marketing. Key reasons for customers to outsource public affairs services include a lack of in-house resources, skills or breadth of relationships. Increased use of paid media integrated with traditionally “earned” communications strategies has driven more hybrid capabilities and challenged most clients’ traditional structures.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value proposition of public affairs services can vary depending on the specialty and expertise of the provider firm:</w:t>
      </w:r>
    </w:p>
    <w:p>
      <w:pPr>
        <w:spacing w:after="0" w:line="136" w:lineRule="exact"/>
        <w:rPr>
          <w:sz w:val="20"/>
          <w:szCs w:val="20"/>
          <w:color w:val="auto"/>
        </w:rPr>
      </w:pPr>
    </w:p>
    <w:p>
      <w:pPr>
        <w:ind w:left="520" w:right="100" w:hanging="6"/>
        <w:spacing w:after="0" w:line="287" w:lineRule="auto"/>
        <w:tabs>
          <w:tab w:leader="none" w:pos="77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traditional PR firms with public affairs capabilities typically work with companies and organizations on the creation of large-scale influence campaigns across multiple media channels, including digital and social media;</w:t>
      </w:r>
    </w:p>
    <w:p>
      <w:pPr>
        <w:spacing w:after="0" w:line="81" w:lineRule="exact"/>
        <w:rPr>
          <w:rFonts w:ascii="Times New Roman" w:cs="Times New Roman" w:eastAsia="Times New Roman" w:hAnsi="Times New Roman"/>
          <w:sz w:val="14"/>
          <w:szCs w:val="14"/>
          <w:color w:val="auto"/>
        </w:rPr>
      </w:pPr>
    </w:p>
    <w:p>
      <w:pPr>
        <w:ind w:left="520" w:right="40" w:hanging="6"/>
        <w:spacing w:after="0" w:line="287" w:lineRule="auto"/>
        <w:tabs>
          <w:tab w:leader="none" w:pos="77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full-service law, consulting, or communications firms with specialized advisory and advocacy offerings typically offer clients assessments of and advisory on policy and political risk for specific issues, industries and political jurisdictions; and</w:t>
      </w:r>
    </w:p>
    <w:p>
      <w:pPr>
        <w:spacing w:after="0" w:line="81" w:lineRule="exact"/>
        <w:rPr>
          <w:rFonts w:ascii="Times New Roman" w:cs="Times New Roman" w:eastAsia="Times New Roman" w:hAnsi="Times New Roman"/>
          <w:sz w:val="14"/>
          <w:szCs w:val="14"/>
          <w:color w:val="auto"/>
        </w:rPr>
      </w:pPr>
    </w:p>
    <w:p>
      <w:pPr>
        <w:ind w:left="520" w:right="20" w:hanging="6"/>
        <w:spacing w:after="0" w:line="287" w:lineRule="auto"/>
        <w:tabs>
          <w:tab w:leader="none" w:pos="77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specialized public affairs firms offering services directed at educating, engaging, and mobilizing broader public audiences typically develop and execute grassroots campaigns directed at constituents and public stakeholders for specific issues or industries.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Operations</w:t>
      </w:r>
    </w:p>
    <w:p>
      <w:pPr>
        <w:spacing w:after="0" w:line="13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We operate through member companies offering strategic communications services, including government relations, public affairs, research, crisis management, investor relations, and creative communications delivery. At the parent company level, we maintain a lean corporate team to oversee all finance and accounting, human resources administration, legal, and group-wide strategic planning, including acquisitions, strategic partnerships and technology. Our member companies operate on shared back-office systems for finance and accounting, payroll and benefits, and business insurances. We continue to develop more formal systems and accountabilities for our operating businesses, particularly in areas where operational and financial efficiencies can be created. However, key to the ongoing growth and vitality of all member companies, we grant founder and senior management as much autonomy in day-to-day operations as possible in order to maintain the unique identities, specialties and workplace cultures of our member companies.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Member Companies and Reporting Segments</w:t>
      </w:r>
    </w:p>
    <w:p>
      <w:pPr>
        <w:spacing w:after="0" w:line="18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We have 12 member companies which are aggregated into three reportable segments—Government Relations Consulting, Corporate Communications and Public Affairs Consulting and Compliance and Insights Services—and our constituent member companies operate within and in some cases across these different segments.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lists our member companies by reporting segment and area of specialization: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Reporting Segments</w:t>
            </w:r>
          </w:p>
        </w:tc>
        <w:tc>
          <w:tcPr>
            <w:tcW w:w="1300" w:type="dxa"/>
            <w:vAlign w:val="bottom"/>
          </w:tcPr>
          <w:p>
            <w:pPr>
              <w:spacing w:after="0"/>
              <w:rPr>
                <w:sz w:val="11"/>
                <w:szCs w:val="11"/>
                <w:color w:val="auto"/>
              </w:rPr>
            </w:pPr>
          </w:p>
        </w:tc>
      </w:tr>
      <w:tr>
        <w:trPr>
          <w:trHeight w:val="23"/>
        </w:trPr>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13"/>
        </w:trPr>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tcPr>
          <w:p>
            <w:pPr>
              <w:jc w:val="center"/>
              <w:ind w:right="100"/>
              <w:spacing w:after="0" w:line="114" w:lineRule="exact"/>
              <w:rPr>
                <w:sz w:val="20"/>
                <w:szCs w:val="20"/>
                <w:color w:val="auto"/>
              </w:rPr>
            </w:pPr>
            <w:r>
              <w:rPr>
                <w:rFonts w:ascii="Times New Roman" w:cs="Times New Roman" w:eastAsia="Times New Roman" w:hAnsi="Times New Roman"/>
                <w:sz w:val="10"/>
                <w:szCs w:val="10"/>
                <w:b w:val="1"/>
                <w:bCs w:val="1"/>
                <w:color w:val="auto"/>
                <w:w w:val="97"/>
              </w:rPr>
              <w:t>Government Relations</w:t>
            </w:r>
          </w:p>
        </w:tc>
        <w:tc>
          <w:tcPr>
            <w:tcW w:w="1400" w:type="dxa"/>
            <w:vAlign w:val="bottom"/>
            <w:gridSpan w:val="2"/>
          </w:tcPr>
          <w:p>
            <w:pPr>
              <w:jc w:val="center"/>
              <w:ind w:right="100"/>
              <w:spacing w:after="0" w:line="114" w:lineRule="exact"/>
              <w:rPr>
                <w:sz w:val="20"/>
                <w:szCs w:val="20"/>
                <w:color w:val="auto"/>
              </w:rPr>
            </w:pPr>
            <w:r>
              <w:rPr>
                <w:rFonts w:ascii="Times New Roman" w:cs="Times New Roman" w:eastAsia="Times New Roman" w:hAnsi="Times New Roman"/>
                <w:sz w:val="10"/>
                <w:szCs w:val="10"/>
                <w:b w:val="1"/>
                <w:bCs w:val="1"/>
                <w:color w:val="auto"/>
                <w:w w:val="98"/>
              </w:rPr>
              <w:t>Corporate Communications</w:t>
            </w:r>
          </w:p>
        </w:tc>
        <w:tc>
          <w:tcPr>
            <w:tcW w:w="130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b w:val="1"/>
                <w:bCs w:val="1"/>
                <w:color w:val="auto"/>
                <w:w w:val="99"/>
              </w:rPr>
              <w:t>Compliance and Insights</w:t>
            </w:r>
          </w:p>
        </w:tc>
      </w:tr>
      <w:tr>
        <w:trPr>
          <w:trHeight w:val="130"/>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Member Companies</w:t>
            </w:r>
          </w:p>
        </w:tc>
        <w:tc>
          <w:tcPr>
            <w:tcW w:w="4860" w:type="dxa"/>
            <w:vAlign w:val="bottom"/>
            <w:gridSpan w:val="2"/>
          </w:tcPr>
          <w:p>
            <w:pPr>
              <w:ind w:left="2120"/>
              <w:spacing w:after="0"/>
              <w:rPr>
                <w:sz w:val="20"/>
                <w:szCs w:val="20"/>
                <w:color w:val="auto"/>
              </w:rPr>
            </w:pPr>
            <w:r>
              <w:rPr>
                <w:rFonts w:ascii="Times New Roman" w:cs="Times New Roman" w:eastAsia="Times New Roman" w:hAnsi="Times New Roman"/>
                <w:sz w:val="10"/>
                <w:szCs w:val="10"/>
                <w:b w:val="1"/>
                <w:bCs w:val="1"/>
                <w:color w:val="auto"/>
              </w:rPr>
              <w:t>Focus Areas</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8"/>
              </w:rPr>
              <w:t>Consulting</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8"/>
              </w:rPr>
              <w:t>&amp; Public Affairs Consulting</w:t>
            </w: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Services</w:t>
            </w:r>
          </w:p>
        </w:tc>
      </w:tr>
      <w:tr>
        <w:trPr>
          <w:trHeight w:val="23"/>
        </w:trPr>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7"/>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Crossroads</w:t>
            </w:r>
          </w:p>
        </w:tc>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Federally focused government relations firm with long history and strong reputation.</w:t>
            </w: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b w:val="1"/>
                <w:bCs w:val="1"/>
                <w:color w:val="auto"/>
              </w:rPr>
              <w:t>P</w:t>
            </w: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42"/>
        </w:trPr>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59"/>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Forbes Tate</w:t>
            </w: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Government relations focused core with recent expansion into public affairs and broader</w:t>
            </w:r>
          </w:p>
        </w:tc>
        <w:tc>
          <w:tcPr>
            <w:tcW w:w="14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w:t>
            </w:r>
          </w:p>
        </w:tc>
        <w:tc>
          <w:tcPr>
            <w:tcW w:w="14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w:t>
            </w:r>
          </w:p>
        </w:tc>
        <w:tc>
          <w:tcPr>
            <w:tcW w:w="1300" w:type="dxa"/>
            <w:vAlign w:val="bottom"/>
          </w:tcPr>
          <w:p>
            <w:pPr>
              <w:spacing w:after="0"/>
              <w:rPr>
                <w:sz w:val="13"/>
                <w:szCs w:val="13"/>
                <w:color w:val="auto"/>
              </w:rPr>
            </w:pPr>
          </w:p>
        </w:tc>
      </w:tr>
      <w:tr>
        <w:trPr>
          <w:trHeight w:val="165"/>
        </w:trPr>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strategic communications services.</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6"/>
        </w:trPr>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59"/>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Seven Letter</w:t>
            </w:r>
          </w:p>
        </w:tc>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Created in 2019 from the merger of the Blue Engine and JDA Frontline brands; digital and</w:t>
            </w: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b w:val="1"/>
                <w:bCs w:val="1"/>
                <w:color w:val="auto"/>
              </w:rPr>
              <w:t>P</w:t>
            </w:r>
          </w:p>
        </w:tc>
        <w:tc>
          <w:tcPr>
            <w:tcW w:w="1300" w:type="dxa"/>
            <w:vAlign w:val="bottom"/>
            <w:shd w:val="clear" w:color="auto" w:fill="CCEEFF"/>
          </w:tcPr>
          <w:p>
            <w:pPr>
              <w:spacing w:after="0"/>
              <w:rPr>
                <w:sz w:val="13"/>
                <w:szCs w:val="13"/>
                <w:color w:val="auto"/>
              </w:rPr>
            </w:pPr>
          </w:p>
        </w:tc>
      </w:tr>
      <w:tr>
        <w:trPr>
          <w:trHeight w:val="171"/>
        </w:trPr>
        <w:tc>
          <w:tcPr>
            <w:tcW w:w="1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analytics focus to PR and public affairs.</w:t>
            </w:r>
          </w:p>
        </w:tc>
        <w:tc>
          <w:tcPr>
            <w:tcW w:w="13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r>
      <w:tr>
        <w:trPr>
          <w:trHeight w:val="176"/>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O’Neill</w:t>
            </w: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State-level expertise focused on New England with complementary Federal relationships.</w:t>
            </w:r>
          </w:p>
        </w:tc>
        <w:tc>
          <w:tcPr>
            <w:tcW w:w="14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42"/>
        </w:trPr>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76"/>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Alpine</w:t>
            </w:r>
          </w:p>
        </w:tc>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Federally focused government relations firm with long history and strong reputation.</w:t>
            </w: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b w:val="1"/>
                <w:bCs w:val="1"/>
                <w:color w:val="auto"/>
              </w:rPr>
              <w:t>P</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42"/>
        </w:trPr>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76"/>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KP</w:t>
            </w: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Government relations and PR firm based in California with state-level expertise.</w:t>
            </w:r>
          </w:p>
        </w:tc>
        <w:tc>
          <w:tcPr>
            <w:tcW w:w="14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w:t>
            </w:r>
          </w:p>
        </w:tc>
        <w:tc>
          <w:tcPr>
            <w:tcW w:w="14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w:t>
            </w:r>
          </w:p>
        </w:tc>
        <w:tc>
          <w:tcPr>
            <w:tcW w:w="1300" w:type="dxa"/>
            <w:vAlign w:val="bottom"/>
          </w:tcPr>
          <w:p>
            <w:pPr>
              <w:spacing w:after="0"/>
              <w:rPr>
                <w:sz w:val="15"/>
                <w:szCs w:val="15"/>
                <w:color w:val="auto"/>
              </w:rPr>
            </w:pPr>
          </w:p>
        </w:tc>
      </w:tr>
      <w:tr>
        <w:trPr>
          <w:trHeight w:val="142"/>
        </w:trPr>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59"/>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MultiState</w:t>
            </w:r>
          </w:p>
        </w:tc>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Full-service state and local government relations company based in Virginia with a presence</w:t>
            </w: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b w:val="1"/>
                <w:bCs w:val="1"/>
                <w:color w:val="auto"/>
              </w:rPr>
              <w:t>P</w:t>
            </w: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b w:val="1"/>
                <w:bCs w:val="1"/>
                <w:color w:val="auto"/>
              </w:rPr>
              <w:t>P</w:t>
            </w:r>
          </w:p>
        </w:tc>
      </w:tr>
      <w:tr>
        <w:trPr>
          <w:trHeight w:val="171"/>
        </w:trPr>
        <w:tc>
          <w:tcPr>
            <w:tcW w:w="1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 all 50 states.</w:t>
            </w:r>
          </w:p>
        </w:tc>
        <w:tc>
          <w:tcPr>
            <w:tcW w:w="13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r>
      <w:tr>
        <w:trPr>
          <w:trHeight w:val="159"/>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Concordant</w:t>
            </w: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Advisory firm that integrates PPHC’s policy expertise and communications capabilities. We</w:t>
            </w:r>
          </w:p>
        </w:tc>
        <w:tc>
          <w:tcPr>
            <w:tcW w:w="14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w:t>
            </w:r>
          </w:p>
        </w:tc>
        <w:tc>
          <w:tcPr>
            <w:tcW w:w="14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w:t>
            </w:r>
          </w:p>
        </w:tc>
        <w:tc>
          <w:tcPr>
            <w:tcW w:w="1300" w:type="dxa"/>
            <w:vAlign w:val="bottom"/>
          </w:tcPr>
          <w:p>
            <w:pPr>
              <w:spacing w:after="0"/>
              <w:rPr>
                <w:sz w:val="13"/>
                <w:szCs w:val="13"/>
                <w:color w:val="auto"/>
              </w:rPr>
            </w:pPr>
          </w:p>
        </w:tc>
      </w:tr>
      <w:tr>
        <w:trPr>
          <w:trHeight w:val="165"/>
        </w:trPr>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launched Concordant as an organic start-up in 2023.</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6"/>
        </w:trPr>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59"/>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Lucas</w:t>
            </w:r>
          </w:p>
        </w:tc>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California-based public affairs firm specializing in high-level reputation, issues</w:t>
            </w: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b w:val="1"/>
                <w:bCs w:val="1"/>
                <w:color w:val="auto"/>
              </w:rPr>
              <w:t>P</w:t>
            </w:r>
          </w:p>
        </w:tc>
        <w:tc>
          <w:tcPr>
            <w:tcW w:w="1300" w:type="dxa"/>
            <w:vAlign w:val="bottom"/>
            <w:shd w:val="clear" w:color="auto" w:fill="CCEEFF"/>
          </w:tcPr>
          <w:p>
            <w:pPr>
              <w:spacing w:after="0"/>
              <w:rPr>
                <w:sz w:val="13"/>
                <w:szCs w:val="13"/>
                <w:color w:val="auto"/>
              </w:rPr>
            </w:pPr>
          </w:p>
        </w:tc>
      </w:tr>
      <w:tr>
        <w:trPr>
          <w:trHeight w:val="171"/>
        </w:trPr>
        <w:tc>
          <w:tcPr>
            <w:tcW w:w="1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management, and digital strategic communications campaigns.</w:t>
            </w:r>
          </w:p>
        </w:tc>
        <w:tc>
          <w:tcPr>
            <w:tcW w:w="13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r>
      <w:tr>
        <w:trPr>
          <w:trHeight w:val="159"/>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Pagefield</w:t>
            </w: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UK-based corporate communications consultancy specializing in public affairs, PR and</w:t>
            </w:r>
          </w:p>
        </w:tc>
        <w:tc>
          <w:tcPr>
            <w:tcW w:w="14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w:t>
            </w:r>
          </w:p>
        </w:tc>
        <w:tc>
          <w:tcPr>
            <w:tcW w:w="14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w:t>
            </w:r>
          </w:p>
        </w:tc>
        <w:tc>
          <w:tcPr>
            <w:tcW w:w="1300" w:type="dxa"/>
            <w:vAlign w:val="bottom"/>
          </w:tcPr>
          <w:p>
            <w:pPr>
              <w:spacing w:after="0"/>
              <w:rPr>
                <w:sz w:val="13"/>
                <w:szCs w:val="13"/>
                <w:color w:val="auto"/>
              </w:rPr>
            </w:pPr>
          </w:p>
        </w:tc>
      </w:tr>
      <w:tr>
        <w:trPr>
          <w:trHeight w:val="165"/>
        </w:trPr>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digital.</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6"/>
        </w:trPr>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59"/>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TrailRunner</w:t>
            </w:r>
          </w:p>
        </w:tc>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Global strategic communications advisory firm headquartered in Dallas-Fort Worth with</w:t>
            </w: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b w:val="1"/>
                <w:bCs w:val="1"/>
                <w:color w:val="auto"/>
              </w:rPr>
              <w:t>P</w:t>
            </w:r>
          </w:p>
        </w:tc>
        <w:tc>
          <w:tcPr>
            <w:tcW w:w="1300" w:type="dxa"/>
            <w:vAlign w:val="bottom"/>
            <w:shd w:val="clear" w:color="auto" w:fill="CCEEFF"/>
          </w:tcPr>
          <w:p>
            <w:pPr>
              <w:spacing w:after="0"/>
              <w:rPr>
                <w:sz w:val="13"/>
                <w:szCs w:val="13"/>
                <w:color w:val="auto"/>
              </w:rPr>
            </w:pPr>
          </w:p>
        </w:tc>
      </w:tr>
      <w:tr>
        <w:trPr>
          <w:trHeight w:val="171"/>
        </w:trPr>
        <w:tc>
          <w:tcPr>
            <w:tcW w:w="1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offices in New York, London, Shanghai, Abu Dhabi and Dubai.</w:t>
            </w:r>
          </w:p>
        </w:tc>
        <w:tc>
          <w:tcPr>
            <w:tcW w:w="13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r>
      <w:tr>
        <w:trPr>
          <w:trHeight w:val="159"/>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Pine Cove</w:t>
            </w: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State-level expertise focused on Texas with complementary strategic communications</w:t>
            </w:r>
          </w:p>
        </w:tc>
        <w:tc>
          <w:tcPr>
            <w:tcW w:w="14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w:t>
            </w:r>
          </w:p>
        </w:tc>
        <w:tc>
          <w:tcPr>
            <w:tcW w:w="14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w:t>
            </w:r>
          </w:p>
        </w:tc>
        <w:tc>
          <w:tcPr>
            <w:tcW w:w="1300" w:type="dxa"/>
            <w:vAlign w:val="bottom"/>
          </w:tcPr>
          <w:p>
            <w:pPr>
              <w:spacing w:after="0"/>
              <w:rPr>
                <w:sz w:val="13"/>
                <w:szCs w:val="13"/>
                <w:color w:val="auto"/>
              </w:rPr>
            </w:pPr>
          </w:p>
        </w:tc>
      </w:tr>
      <w:tr>
        <w:trPr>
          <w:trHeight w:val="165"/>
        </w:trPr>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practice.</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Government Relations Consulting</w:t>
      </w:r>
    </w:p>
    <w:p>
      <w:pPr>
        <w:spacing w:after="0" w:line="138" w:lineRule="exact"/>
        <w:rPr>
          <w:sz w:val="20"/>
          <w:szCs w:val="20"/>
          <w:color w:val="auto"/>
        </w:rPr>
      </w:pPr>
    </w:p>
    <w:p>
      <w:pPr>
        <w:jc w:val="both"/>
        <w:ind w:right="420"/>
        <w:spacing w:after="0" w:line="287" w:lineRule="auto"/>
        <w:rPr>
          <w:sz w:val="20"/>
          <w:szCs w:val="20"/>
          <w:color w:val="auto"/>
        </w:rPr>
      </w:pPr>
      <w:r>
        <w:rPr>
          <w:rFonts w:ascii="Times New Roman" w:cs="Times New Roman" w:eastAsia="Times New Roman" w:hAnsi="Times New Roman"/>
          <w:sz w:val="14"/>
          <w:szCs w:val="14"/>
          <w:color w:val="auto"/>
        </w:rPr>
        <w:t>Our core Government Relations Consulting segment encompasses all or part of the operations of our member companies other than Seven Letter, Lucas and TrailRunner. Across these member companies, we offer multi-disciplinary federal and state advocacy and advisory services, including direct advocacy services, strategic intelligence and reputation management.</w:t>
      </w:r>
    </w:p>
    <w:p>
      <w:pPr>
        <w:spacing w:after="0" w:line="8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federal lobbying firms consistently rank in the top 20 (of more than 2,000 registered lobbying firms reporting) of lobbying services. Collectively, our member companies are the largest provider of lobbying services at the US federal level. This core service offering continues to provide us with high client retention and a strong nexus for other policy and public affairs, research and state-based services.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Communications and Public Affairs Consulting</w:t>
      </w:r>
    </w:p>
    <w:p>
      <w:pPr>
        <w:spacing w:after="0" w:line="138"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4"/>
          <w:szCs w:val="14"/>
          <w:color w:val="auto"/>
        </w:rPr>
        <w:t>Through our Corporate Communications and Public Affairs Consulting segment, we assist our clients with a range of reputation building, issues and crisis management, stakeholder engagement, digital strategy and grassroots needs. We provide creative/copy/graphics development, research and polling, full campaign execution and grassroots advocacy at the federal, state and international levels, tailoring solutions to fit our clients’ needs. Many of our member companies, including Crossroads, Forbes Tate, and Seven Letter, have individuals with experience in managing lobbying coalitions built around shared client issue interests. Coalitions and common interest organizations are increasingly becoming the vehicle through which US corporations are working together with other stakeholders to advance their advocacy mission. Our reputation as professionals with experience running such complex initiatives has helped grow our strategic communications segment in recent years.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Compliance and Insights Services</w:t>
      </w:r>
    </w:p>
    <w:p>
      <w:pPr>
        <w:spacing w:after="0" w:line="13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Our Compliance and Insights Services segment is currently principally operated through MultiState, and includes legislative tracking as well as lobbying and campaign finance compliance. Through our legislative tracking service, we leverage our policy expertise to monitor bills, regulations and other legal developments for clients, helping keep them apprised of new developments that may affect them. We also offer local government monitoring and alert services in various jurisdictions. Our compliance services include flat fee-based services to provide digital resources and direct support to help clients manage their federal, state, and local registration and reporting responsibilities, campaign finance program and lobbying compliance and a centralized online system that consolidates all requisite forms in one place.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7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Within our core Government Relations Consulting segment, our key competitors vary by market segment. In US federal lobbying, our competitors include large top 25 lobbying firms. (See “</w:t>
      </w:r>
      <w:r>
        <w:rPr>
          <w:rFonts w:ascii="Times New Roman" w:cs="Times New Roman" w:eastAsia="Times New Roman" w:hAnsi="Times New Roman"/>
          <w:sz w:val="14"/>
          <w:szCs w:val="14"/>
          <w:i w:val="1"/>
          <w:iCs w:val="1"/>
          <w:color w:val="auto"/>
        </w:rPr>
        <w:t>—Our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Markets and Industry—Government Relations,</w:t>
      </w:r>
      <w:r>
        <w:rPr>
          <w:rFonts w:ascii="Times New Roman" w:cs="Times New Roman" w:eastAsia="Times New Roman" w:hAnsi="Times New Roman"/>
          <w:sz w:val="14"/>
          <w:szCs w:val="14"/>
          <w:color w:val="auto"/>
        </w:rPr>
        <w:t>” above.) Some of these firms are housed within large law firms, while others are specialist lobbying firms that may specialize in a particular industry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legislative area such as the budget process. We also face competition from smaller lobbying outfits and practitioners. and, to some extent, from in-house government relations staff.</w:t>
      </w:r>
    </w:p>
    <w:p>
      <w:pPr>
        <w:spacing w:after="0" w:line="93" w:lineRule="exact"/>
        <w:rPr>
          <w:sz w:val="20"/>
          <w:szCs w:val="20"/>
          <w:color w:val="auto"/>
        </w:rPr>
      </w:pPr>
    </w:p>
    <w:p>
      <w:pPr>
        <w:ind w:right="620"/>
        <w:spacing w:after="0" w:line="287" w:lineRule="auto"/>
        <w:rPr>
          <w:sz w:val="20"/>
          <w:szCs w:val="20"/>
          <w:color w:val="auto"/>
        </w:rPr>
      </w:pPr>
      <w:r>
        <w:rPr>
          <w:rFonts w:ascii="Times New Roman" w:cs="Times New Roman" w:eastAsia="Times New Roman" w:hAnsi="Times New Roman"/>
          <w:sz w:val="14"/>
          <w:szCs w:val="14"/>
          <w:color w:val="auto"/>
        </w:rPr>
        <w:t>Our competitors in US state-level lobbying vary to some extent by state. Among state-level lobbyists operating in multiple states, competitors include Brownstein Hyatt Farber Schreck and Cornerstone Government Affairs. In California, competitors include California Strategies and Axiom Advisors. In Texas, competitors include Hillco Partners and McGuire Woods.</w:t>
      </w:r>
    </w:p>
    <w:p>
      <w:pPr>
        <w:spacing w:after="0" w:line="8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Within our Corporate Communications and Public Affairs Consulting segment, our key competitors in the US include PR firms across sub-sectors including public affairs, general PR services, media relations. These include large, diversified firms such as Edelman, Burson and FGS, and smaller, more boutique firms such as Penta, Precision, Firehouse Strategies and Avoq. In the UK, Europe and across other jurisdictions, we face competition both from diversified global players such as Brunswick and Teneo, and from local communications and PR firms such as Lexington and Hanbury in the UK.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client base includes corporate, trade association and non-profit client organizations across a range of industries. Our top 10 clients by revenue in aggregate represented 9.2% of revenue in the year ended December 31, 2025, compared to 8.7% of revenue in the year ended December 31, 2024, and 10.8% in the year ended December 31, 2023.</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summarizes our revenue by client industry sector in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Revenue</w:t>
            </w:r>
          </w:p>
        </w:tc>
      </w:tr>
      <w:tr>
        <w:trPr>
          <w:trHeight w:val="149"/>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Client Industry Sector</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30"/>
        </w:trPr>
        <w:tc>
          <w:tcPr>
            <w:tcW w:w="9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3"/>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w:t>
            </w:r>
          </w:p>
        </w:tc>
        <w:tc>
          <w:tcPr>
            <w:tcW w:w="52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r>
      <w:tr>
        <w:trPr>
          <w:trHeight w:val="191"/>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Business Services</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22"/>
        </w:trPr>
        <w:tc>
          <w:tcPr>
            <w:tcW w:w="9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191"/>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Healthcare</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22"/>
        </w:trPr>
        <w:tc>
          <w:tcPr>
            <w:tcW w:w="9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w:t>
            </w: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191"/>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Pharma</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22"/>
        </w:trPr>
        <w:tc>
          <w:tcPr>
            <w:tcW w:w="9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Transportation</w:t>
            </w: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91"/>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Construction</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2"/>
        </w:trPr>
        <w:tc>
          <w:tcPr>
            <w:tcW w:w="9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Education</w:t>
            </w: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91"/>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Recreation / Tourism</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22"/>
        </w:trPr>
        <w:tc>
          <w:tcPr>
            <w:tcW w:w="9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Issue Advocacy</w:t>
            </w: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91"/>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Defense</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22"/>
        </w:trPr>
        <w:tc>
          <w:tcPr>
            <w:tcW w:w="9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Associations</w:t>
            </w: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91"/>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Manufacturing</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22"/>
        </w:trPr>
        <w:tc>
          <w:tcPr>
            <w:tcW w:w="9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Media / Communications</w:t>
            </w: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91"/>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Environment</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2"/>
        </w:trPr>
        <w:tc>
          <w:tcPr>
            <w:tcW w:w="9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Telecom</w:t>
            </w: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91"/>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2"/>
        </w:trPr>
        <w:tc>
          <w:tcPr>
            <w:tcW w:w="9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Alcohol / Tobacco / Cannabis</w:t>
            </w: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91"/>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Food &amp; Beverage</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2"/>
        </w:trPr>
        <w:tc>
          <w:tcPr>
            <w:tcW w:w="9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Automotive</w:t>
            </w: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91"/>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Agriculture</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2"/>
        </w:trPr>
        <w:tc>
          <w:tcPr>
            <w:tcW w:w="9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 Unidentified</w:t>
            </w: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91"/>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Labor</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22"/>
        </w:trPr>
        <w:tc>
          <w:tcPr>
            <w:tcW w:w="9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2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186.5</w:t>
            </w:r>
          </w:p>
        </w:tc>
      </w:tr>
      <w:tr>
        <w:trPr>
          <w:trHeight w:val="20"/>
        </w:trPr>
        <w:tc>
          <w:tcPr>
            <w:tcW w:w="9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18" w:lineRule="exact"/>
        <w:rPr>
          <w:sz w:val="20"/>
          <w:szCs w:val="20"/>
          <w:color w:val="auto"/>
        </w:rPr>
      </w:pPr>
    </w:p>
    <w:p>
      <w:pPr>
        <w:ind w:left="200" w:hanging="195"/>
        <w:spacing w:after="0"/>
        <w:tabs>
          <w:tab w:leader="none" w:pos="20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Table may not sum due to immaterial rounding differences.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Employees</w:t>
      </w:r>
    </w:p>
    <w:p>
      <w:pPr>
        <w:spacing w:after="0" w:line="18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 most valuable asset of a government relations and public affairs business is its employees, and we are highly dependent on the talent, creative abilities and technical skills of our employees and the relationships with clients. We believe that our operating model and the reputation of our Company attract talented personnel. However, we, like all businesses in our industry, are vulnerable to adverse consequences from the loss of key employees to competitors or otherwise.</w:t>
      </w:r>
    </w:p>
    <w:p>
      <w:pPr>
        <w:spacing w:after="0" w:line="93"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As of December 31, 2025, we had 450 employees; we had on average 426 FTEs during the year ended December 31, 2025. We had on average 349 FTEs during 2024, with approximately 367 FTE’s as of December 31, 2024. The increases were primarily driven by the acquisitions of Pagefield and Lucas Public Affairs in 2024 along with TrailRunner and Pine Cove in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intellectual property consists principally in the trademarks of PPHC and our member companies. We also license various software packages from third parties for use in our business. Most of our trademarks are registered in the US and, in the case of Pagefield, in the UK and the European Union.</w:t>
      </w:r>
    </w:p>
    <w:p>
      <w:pPr>
        <w:spacing w:after="0" w:line="8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Our MultiState member company relies on certain proprietary software platforms it has developed to provide compliance and tracking services. The copyright in the source code for such software is assigned to MultiState in the relevant employees’ employment agreements. We are also completing registration for a US trademark relating to these platforms.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Governmental Regulation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Regulations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Regulation of US Federal Lobbying</w:t>
      </w:r>
    </w:p>
    <w:p>
      <w:pPr>
        <w:spacing w:after="0" w:line="13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The LDA imposes disclosure requirements on lobbying activities at the federal level through a registration and reporting regime. A lobbying firm (i.e., an entity that employs at least one “lobbyist” who lobbies for third-party clients) is required to register on behalf of a client under the LDA if one or more of its employees (1) makes at least two “lobbying contacts” with covered federal legislative or executive branch officials, (2) spends more than 20% of his or her time in a calendar quarter on “lobbying activities,” which includes lobbying contacts and preparation and research in support of a lobbying contact and (3) receives or expects to receive $3,500 for lobbying activities on behalf of the client in the calendar quarter (as of January 1, 2025, with future adjustments to dollar threshold scheduled for January 1, 2029).</w:t>
      </w:r>
    </w:p>
    <w:p>
      <w:pPr>
        <w:spacing w:after="0" w:line="10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Organizations employing in-house lobbyists must register when quarterly lobbying expenses reach $16,000. Lobbying firms must register separately for each client and must do so within 45 days after the earlier of (1) the date they are retained to make more than one lobbying contact on behalf of the client (subject to meeting the 20 percent of time threshold) or (2) the date a lobbyist in fact makes a second lobbying contact. A lobbying firm is not required to register, however, if its total income for matters relating to lobbying activities on behalf of a particular client does not, and is not expected to, exceed $3,500 in a quarter. In addition to the initial registration, a lobbying firm must file quarterly activity reports for each particular client and semi-annual contribution reports must be filed by both the lobbying firm and each individual lobbyist. Civil penalties for LDA violations can reach $200,000 per violation, with criminal penalties up to 5 years imprisonment and $250,000 in fines for knowing and corrupt violations.</w:t>
      </w:r>
    </w:p>
    <w:p>
      <w:pPr>
        <w:spacing w:after="0" w:line="103"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Each of our member companies that engage in federal lobbying have processes in place that are in line with industry practices to ensure compliance with the LDA and for filing lobbying disclosure reports accurately and timely. Our member companies use a mixture of in-house expertise and outside consultants.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Regulation of US State Lobbying</w:t>
      </w:r>
    </w:p>
    <w:p>
      <w:pPr>
        <w:spacing w:after="0" w:line="138"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While the LDA regulates lobbying of covered federal officials, each state (and some municipalities) has its own lobbying laws that govern lobbying at the state and local level. In general, states require registration and reporting with respect to lobbying of non-federal officials in the state. The nuances of such rules, however, can vary significantly from state to state, including with respect to what constitutes lobbying, what fee arrangements are permissible, which officials are covered, whether registration is required prior to lobbying or once a particular threshold is reached, how frequently reporting is due, and what information must be reported. Many states have municipalities with separate lobbying regulations, creating complex multi-jurisdictional compliance obligations.</w:t>
      </w:r>
    </w:p>
    <w:p>
      <w:pPr>
        <w:spacing w:after="0" w:line="98" w:lineRule="exact"/>
        <w:rPr>
          <w:sz w:val="20"/>
          <w:szCs w:val="20"/>
          <w:color w:val="auto"/>
        </w:rPr>
      </w:pPr>
    </w:p>
    <w:p>
      <w:pPr>
        <w:ind w:right="560"/>
        <w:spacing w:after="0" w:line="442" w:lineRule="auto"/>
        <w:rPr>
          <w:sz w:val="20"/>
          <w:szCs w:val="20"/>
          <w:color w:val="auto"/>
        </w:rPr>
      </w:pPr>
      <w:r>
        <w:rPr>
          <w:rFonts w:ascii="Times New Roman" w:cs="Times New Roman" w:eastAsia="Times New Roman" w:hAnsi="Times New Roman"/>
          <w:sz w:val="14"/>
          <w:szCs w:val="14"/>
          <w:color w:val="auto"/>
        </w:rPr>
        <w:t xml:space="preserve">Each of our member companies that engage in state lobbying have processes in place utilizing a combination of outside consultants or in-house expertise for state registrations and reporting. </w:t>
      </w:r>
      <w:r>
        <w:rPr>
          <w:rFonts w:ascii="Times New Roman" w:cs="Times New Roman" w:eastAsia="Times New Roman" w:hAnsi="Times New Roman"/>
          <w:sz w:val="14"/>
          <w:szCs w:val="14"/>
          <w:i w:val="1"/>
          <w:iCs w:val="1"/>
          <w:color w:val="auto"/>
        </w:rPr>
        <w:t>Foreign Agents Registration Act ("FARA")</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FARA is a US federal law that requires any “agent of a foreign principal” to register and file certain reports and disclosures with the Attorney General of the United States when they engage in certain political or quasi-political activities for or in the interest of “foreign principals” unless a limited number of exemptions apply. Registration must occur prior to acting as an agent of a foreign principal and within 10 days of having agreed to do so. Supplemental statements must be filed at six-month intervals following initial registration. All relevant books and records must be retained and made available for inspection by the Department of Justice. A “foreign principal” is any foreign government, political entity, non-US citizen located outside of the US, or any entity organized under the laws of or having its principal place of business in a foreign country. An “agent of a foreign principal” is limited to individuals and entities that: (1) act “at the order, request, or under the direction or control, of a foreign principal or of a person any of whose activities are directly or indirectly supervised, directed, controlled, financed, or subsidized in whole or in major part by a foreign principal,” and (2) engage in certain covered political, media, or information activities “within the United States” that are “for or in the interests of” a foreign principal. Among the covered activities is political activity (or lobbying) intended to influence any agency or official of the US government or any section of the public within the US with respect to US domestic or foreign policy or the political or public interests, policies, or relations of a government of a foreign country or a foreign political party. In some cases, registration and reporting under the more onerous FARA statute is not required for those registered under the LDA for engaging in lobbying activities. This exemption is not available to those who act on behalf of a foreign government or political party.</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Department of Justice published a Notice of Proposed Rulemaking on December 19, 2024 (formally published in the Federal Register on January 2, 2025) that would fundamentally restructure FARA compliance requirements. Final regulations have not been published, and it is uncertain whether and when they will be.</w:t>
      </w:r>
    </w:p>
    <w:p>
      <w:pPr>
        <w:spacing w:after="0" w:line="8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have adopted an Anti-Bribery and Anti-Corruption Compliance Policy to, among other things, identify and monitor our business dealings with foreign policy officials or foreign agents. Currently, all member companies communicate with us about business dealings and utilize the same outside counsel for filing FARA reports. We use outside legal counsel to train employees as necessary as detailed in our employee manual.</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Applicable Regulations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engage in lobbying or similar highly regulated activities in Shanghai, Abu Dhabi or Dubai, but our Pagefield subsidiary is subject to certain regulations in the United Kingdom.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Regulation of Lobbying in the UK</w:t>
      </w:r>
    </w:p>
    <w:p>
      <w:pPr>
        <w:spacing w:after="0" w:line="13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Transparency of Lobbying, Non-Party Campaigning and Trade Union Administration Act 2014 (the “UK Act”) imposes mandatory statutory registration and disclosure requirements on lobbying activities through a registration and reporting regime. “Consultant lobbyists” (i.e. any person or organization carrying out the business of “consultant lobbying” as defined by the UK Act) are required to be registered on the Register of Consultant Lobbyists (the “Register”). All “direct communications” to UK government ministers or permanent secretaries relating to legislation or government functions by consultant lobbyists must be registered.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Organizations and individuals are considered to be carrying out the business of consultant lobbying if they fulfill these three tests:</w:t>
      </w:r>
    </w:p>
    <w:p>
      <w:pPr>
        <w:spacing w:after="0" w:line="136" w:lineRule="exact"/>
        <w:rPr>
          <w:sz w:val="20"/>
          <w:szCs w:val="20"/>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make oral, written or electronic communications personally to a Minister of the Crown or Permanent Secretary (or equivalents specified in the Act), relating to:</w:t>
      </w:r>
    </w:p>
    <w:p>
      <w:pPr>
        <w:spacing w:after="0" w:line="136" w:lineRule="exact"/>
        <w:rPr>
          <w:rFonts w:ascii="Times New Roman" w:cs="Times New Roman" w:eastAsia="Times New Roman" w:hAnsi="Times New Roman"/>
          <w:sz w:val="14"/>
          <w:szCs w:val="14"/>
          <w:color w:val="auto"/>
        </w:rPr>
      </w:pPr>
    </w:p>
    <w:p>
      <w:pPr>
        <w:ind w:left="1280" w:hanging="511"/>
        <w:spacing w:after="0"/>
        <w:tabs>
          <w:tab w:leader="none" w:pos="128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adoption or modification of any proposal of the government to make or amend primary or subordinate legislation</w:t>
      </w:r>
    </w:p>
    <w:p>
      <w:pPr>
        <w:spacing w:after="0" w:line="136" w:lineRule="exact"/>
        <w:rPr>
          <w:rFonts w:ascii="Times New Roman" w:cs="Times New Roman" w:eastAsia="Times New Roman" w:hAnsi="Times New Roman"/>
          <w:sz w:val="14"/>
          <w:szCs w:val="14"/>
          <w:color w:val="auto"/>
        </w:rPr>
      </w:pPr>
    </w:p>
    <w:p>
      <w:pPr>
        <w:ind w:left="1260" w:hanging="491"/>
        <w:spacing w:after="0"/>
        <w:tabs>
          <w:tab w:leader="none" w:pos="126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adoption or modification of any other policy of the government</w:t>
      </w:r>
    </w:p>
    <w:p>
      <w:pPr>
        <w:spacing w:after="0" w:line="136" w:lineRule="exact"/>
        <w:rPr>
          <w:rFonts w:ascii="Times New Roman" w:cs="Times New Roman" w:eastAsia="Times New Roman" w:hAnsi="Times New Roman"/>
          <w:sz w:val="14"/>
          <w:szCs w:val="14"/>
          <w:color w:val="auto"/>
        </w:rPr>
      </w:pPr>
    </w:p>
    <w:p>
      <w:pPr>
        <w:ind w:left="1280" w:hanging="511"/>
        <w:spacing w:after="0"/>
        <w:tabs>
          <w:tab w:leader="none" w:pos="128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taking of any steps by the government in relation to any contract, agreement, grant, financial assistance, license or authorization; or</w:t>
      </w:r>
    </w:p>
    <w:p>
      <w:pPr>
        <w:spacing w:after="0" w:line="136" w:lineRule="exact"/>
        <w:rPr>
          <w:rFonts w:ascii="Times New Roman" w:cs="Times New Roman" w:eastAsia="Times New Roman" w:hAnsi="Times New Roman"/>
          <w:sz w:val="14"/>
          <w:szCs w:val="14"/>
          <w:color w:val="auto"/>
        </w:rPr>
      </w:pPr>
    </w:p>
    <w:p>
      <w:pPr>
        <w:ind w:left="1260" w:hanging="491"/>
        <w:spacing w:after="0"/>
        <w:tabs>
          <w:tab w:leader="none" w:pos="126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of any other function of the government.</w:t>
      </w:r>
    </w:p>
    <w:p>
      <w:pPr>
        <w:spacing w:after="0" w:line="136" w:lineRule="exact"/>
        <w:rPr>
          <w:rFonts w:ascii="Times New Roman" w:cs="Times New Roman" w:eastAsia="Times New Roman" w:hAnsi="Times New Roman"/>
          <w:sz w:val="14"/>
          <w:szCs w:val="14"/>
          <w:color w:val="auto"/>
        </w:rPr>
      </w:pPr>
    </w:p>
    <w:p>
      <w:pPr>
        <w:ind w:left="520" w:right="40" w:hanging="6"/>
        <w:spacing w:after="0" w:line="287" w:lineRule="auto"/>
        <w:tabs>
          <w:tab w:leader="none" w:pos="77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communication is made in the course of a business and in return for payment on behalf of a client, or payment is received with the expectation that the communication will be made at a later date.</w:t>
      </w:r>
    </w:p>
    <w:p>
      <w:pPr>
        <w:spacing w:after="0" w:line="8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are registered under the Value Added Tax Act 1994.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at April 24, 2025, Pagefield was listed as registered as a lobbying firm by the Office of the Registrar of Consultant Lobbyists (“ORCL”).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Lobbying: Codes of Conduct in the UK</w:t>
      </w:r>
    </w:p>
    <w:p>
      <w:pPr>
        <w:spacing w:after="0" w:line="13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In addition to the mandatory statutory regime established by the UK Act (mentioned above), consultant lobbyists may voluntarily undertake to comply with a code of conduct. While consultant lobbyists must notify the Registrar if they have undertaken to comply with a ‘relevant code of conduct’ (UK Act, s. 4(2)(g)), there is no obligation for registered lobbyists to subscribe to any code of conduct.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two such voluntary codes in this area:</w:t>
      </w:r>
    </w:p>
    <w:p>
      <w:pPr>
        <w:spacing w:after="0" w:line="136" w:lineRule="exact"/>
        <w:rPr>
          <w:sz w:val="20"/>
          <w:szCs w:val="20"/>
          <w:color w:val="auto"/>
        </w:rPr>
      </w:pPr>
    </w:p>
    <w:p>
      <w:pPr>
        <w:ind w:left="1020" w:right="20" w:firstLine="3"/>
        <w:spacing w:after="0" w:line="264" w:lineRule="auto"/>
        <w:tabs>
          <w:tab w:leader="none" w:pos="127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The Chartered Institute of Public Relations (“CIPR's”) Code of Conduct and associated guidance on professional standards in lobbying</w:t>
      </w:r>
      <w:r>
        <w:rPr>
          <w:rFonts w:ascii="Times New Roman" w:cs="Times New Roman" w:eastAsia="Times New Roman" w:hAnsi="Times New Roman"/>
          <w:sz w:val="14"/>
          <w:szCs w:val="14"/>
          <w:color w:val="auto"/>
        </w:rPr>
        <w:t>. The CIPR operates the UK Lobbying Register (“UKLR”), for which registration is voluntary. All registrants are bound by the relevant Code of Conduct (which promotes transparency, accuracy and avoiding conflicts of interest (amongst other things). The CIPR's Professional Standards Panel is tasked with considering complaints. Sanctions for breach of the Code include letters of advice/warning, suspension or termination of membership. While the panel may also require a CIPR consultant member to return all or part of the fees charged for work that the panel</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considers substandard, it cannot award damages (which would need to be pursued through traditional legal avenues).</w:t>
      </w:r>
    </w:p>
    <w:p>
      <w:pPr>
        <w:spacing w:after="0" w:line="136" w:lineRule="exact"/>
        <w:rPr>
          <w:sz w:val="20"/>
          <w:szCs w:val="20"/>
          <w:color w:val="auto"/>
        </w:rPr>
      </w:pPr>
    </w:p>
    <w:p>
      <w:pPr>
        <w:ind w:left="1020" w:right="40"/>
        <w:spacing w:after="0" w:line="270" w:lineRule="auto"/>
        <w:rPr>
          <w:sz w:val="20"/>
          <w:szCs w:val="20"/>
          <w:color w:val="auto"/>
        </w:rPr>
      </w:pPr>
      <w:r>
        <w:rPr>
          <w:rFonts w:ascii="Times New Roman" w:cs="Times New Roman" w:eastAsia="Times New Roman" w:hAnsi="Times New Roman"/>
          <w:sz w:val="14"/>
          <w:szCs w:val="14"/>
          <w:color w:val="auto"/>
        </w:rPr>
        <w:t>Pagefield is not currently a member of the UKLR and therefore is not required to adhere to the CIPR’s Code of Conduct. However, pending the outcome of the current review of the PRCA Code, Pagefield may decide to become a CIPR corporate member (and sign up to its code) instead. Note that individuals can become individual members of the CIPR, and that certain Pagefield employees have chosen to do so.</w:t>
      </w:r>
    </w:p>
    <w:p>
      <w:pPr>
        <w:spacing w:after="0" w:line="93" w:lineRule="exact"/>
        <w:rPr>
          <w:sz w:val="20"/>
          <w:szCs w:val="20"/>
          <w:color w:val="auto"/>
        </w:rPr>
      </w:pPr>
    </w:p>
    <w:p>
      <w:pPr>
        <w:ind w:left="1020" w:right="160" w:firstLine="3"/>
        <w:spacing w:after="0" w:line="264" w:lineRule="auto"/>
        <w:tabs>
          <w:tab w:leader="none" w:pos="127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The PRCA’s Code of Conduct and Public Affairs Code</w:t>
      </w:r>
      <w:r>
        <w:rPr>
          <w:rFonts w:ascii="Times New Roman" w:cs="Times New Roman" w:eastAsia="Times New Roman" w:hAnsi="Times New Roman"/>
          <w:sz w:val="14"/>
          <w:szCs w:val="14"/>
          <w:color w:val="auto"/>
        </w:rPr>
        <w:t>. All PRCA members must agree to abide by the provisions of the PRCA's Code of Conduct. PRCA members are also required to abide by the separate Public Affairs Code when engaging in ‘public affairs’ (meaning “activities which are carried out in the course of a business for the purpose of (a) influencing government, (b) or advising others how to influence government”). The PRCA is tasked with the investigation and determination of complaints against members. The PRCA may impose sanctions (such as censure, a requirement for corrective training, or the suspension/removal of membership).</w:t>
      </w:r>
    </w:p>
    <w:p>
      <w:pPr>
        <w:spacing w:after="0" w:line="95"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4"/>
          <w:szCs w:val="14"/>
          <w:color w:val="auto"/>
        </w:rPr>
        <w:t>Pagefield is a member of the PRCA and therefore submits declarations under the Public Affairs Code to the Register on a quarterly basis (on the “Current Register at 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April – 30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June 2025”) and its current membership of the PRCA runs until August 2026.</w:t>
      </w:r>
    </w:p>
    <w:p>
      <w:pPr>
        <w:spacing w:after="0" w:line="114"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The PRCA is currently conducting a public review of its Public Affairs Code following wider criticism that the rules are not strong enough. Pagefield supports this review, is contributing to it, and will take a decision on its ongoing membership in light of the outcome of that review.</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Influence Registration Scheme</w:t>
      </w:r>
    </w:p>
    <w:p>
      <w:pPr>
        <w:spacing w:after="0" w:line="13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Pursuant to Part 4 of the National Security Act 2023, in July 2025, the UK government established the UK Foreign Influence Registration Scheme (“FIRS”), which requires that individuals and organizations engaged in political influence activities on behalf of foreign powers or certain foreign power-controlled entities register the arrangements under which they perform such activities. FIRS creates a two-tier registration system, comprising (1) the “Political Influence Tier” and (2) “the 'Enhanced Tier.” Our current client relationships do not bring us within the scope of the FIRS registration requirements, but our UK operations may in the future expose us to these requirements.</w:t>
      </w:r>
    </w:p>
    <w:p>
      <w:pPr>
        <w:spacing w:after="0" w:line="9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The Political Influence Tier requires individuals or organizations to register where they are directed (formally or informally) by any foreign power (except the Republic of Ireland) to carry out (or arrange for a third party to carry out) political influence activities in the UK. For purposes of the scheme, “political influence activities” include communications made to senior public officials or politicians, public communications or disbursements (i.e., the provision of goods or services) which are intended to influence an election or referendum in the UK, a ministerial or governmental decision, the proceedings of a UK registered political party (such as their manifesto commitments) or a Member of the House of Commons, House of Lords, Northern Ireland Assembly, Scottish Parliament or Senedd Cymru. “Foreign power” is defined broadly to include, among other things, sovereigns and other heads of state, governments or government agencies, local authorities and political parties. Exemptions apply for foreign powers acting overtly (e.g. diplomats acting in their official capacity), diplomatic family members supporting the work of a diplomat, lawyers carrying out legal activities, recognized news publishers, sovereign wealth funds and public pension funds carrying out political influence activities associated with their investments and those in an arrangement to which the UK is a party.</w:t>
      </w:r>
    </w:p>
    <w:p>
      <w:pPr>
        <w:spacing w:after="0" w:line="10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Under the Enhanced Tier, individuals or organizations are required to register where they are directed by a specified foreign power or specified foreign power-controlled entity to carry out, or arrange for a third party to carry out, “relevant activities” (meaning all activities, including but not limited to commercial activities, the provision of goods and services, research activities and attendance at events) in the UK. Note that specified foreign-power controlled entities are also required to register any “relevant activities that they carry out themselves in the UK.</w:t>
      </w:r>
    </w:p>
    <w:p>
      <w:pPr>
        <w:spacing w:after="0" w:line="93"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Registration is required for activities under the Political Influence Tier within 28 calendar days, and under the Enhanced Tier within 10 calendar days, of the direction being given by the foreign power. It is an offense to carry out activities in the UK absent registration. Registrants must update their registration to reflect any material changes within 14 days, and the government may issue mandatory requests for further information in connection with the registration.</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Social and Governance (“ESG”) Matters</w:t>
      </w:r>
    </w:p>
    <w:p>
      <w:pPr>
        <w:spacing w:after="0" w:line="1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In accordance with the QCA Code and AIM rules, we have adopted an ESG implementation plan, which we outline briefly below. In 2023, using international frameworks, peer disclosures, media review and existing communications, we undertook a materiality assessment to better understand the ESG-related risks and opportunities specific to our industry and corporate structure which, in turn, inform the foundations of our strategy. More specifically, the materiality assessment encompassed key components consisting of an in-depth assessment of our current ESG-related policies and activities, a comprehensive review of our industry peers and their level of ESG disclosure, a systematic ranking of sustainability issues and the formulation of ESG potential focus areas and the development of a potential forward-looking sustainability strategy.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ESG Implementation Plan and overall ESG strategy focus on the following areas of development:</w:t>
      </w:r>
    </w:p>
    <w:p>
      <w:pPr>
        <w:spacing w:after="0" w:line="134" w:lineRule="exact"/>
        <w:rPr>
          <w:sz w:val="20"/>
          <w:szCs w:val="20"/>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Engagement: </w:t>
      </w:r>
      <w:r>
        <w:rPr>
          <w:rFonts w:ascii="Times New Roman" w:cs="Times New Roman" w:eastAsia="Times New Roman" w:hAnsi="Times New Roman"/>
          <w:sz w:val="14"/>
          <w:szCs w:val="14"/>
          <w:color w:val="auto"/>
        </w:rPr>
        <w:t>Foster a professional culture where employees feel they have a part to play in contributing to the Company’s ESG strategy.</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Education: </w:t>
      </w:r>
      <w:r>
        <w:rPr>
          <w:rFonts w:ascii="Times New Roman" w:cs="Times New Roman" w:eastAsia="Times New Roman" w:hAnsi="Times New Roman"/>
          <w:sz w:val="14"/>
          <w:szCs w:val="14"/>
          <w:color w:val="auto"/>
        </w:rPr>
        <w:t>Provide the necessary tools and resources so that the Company’s employees are confident in relaying the Company’s ESG strategy internally and externally.</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Communication: </w:t>
      </w:r>
      <w:r>
        <w:rPr>
          <w:rFonts w:ascii="Times New Roman" w:cs="Times New Roman" w:eastAsia="Times New Roman" w:hAnsi="Times New Roman"/>
          <w:sz w:val="14"/>
          <w:szCs w:val="14"/>
          <w:color w:val="auto"/>
        </w:rPr>
        <w:t>Provide an open and transparent environment for communicating important developments about our ESG strategy to all stakeholders, internal and external.</w:t>
      </w:r>
    </w:p>
    <w:p>
      <w:pPr>
        <w:spacing w:after="0" w:line="13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Through continued analysis and re-assessment, we intend to remain conscious of how we can positively and proactively contribute, in a meaningful way, toward improving and resolving ESG challenges. We anticipate that we will continue to be informed by the results and recommendations from ongoing analysis and assessments and consider ESG impacts, risks, and opportunities for the Company over the short, medium and long-term.</w:t>
      </w:r>
    </w:p>
    <w:p>
      <w:pPr>
        <w:spacing w:after="0" w:line="93"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Using various standards and frameworks, and leveraging outcomes of the ESG materiality assessment, we are in the process of establishing a disclosure tracker and recommended performance measures to be considered for a reporting strategy in the next phase of the Company’s ESG Implementation Plan.</w:t>
      </w:r>
    </w:p>
    <w:p>
      <w:pPr>
        <w:spacing w:after="0" w:line="82" w:lineRule="exact"/>
        <w:rPr>
          <w:sz w:val="20"/>
          <w:szCs w:val="20"/>
          <w:color w:val="auto"/>
        </w:rPr>
      </w:pPr>
    </w:p>
    <w:p>
      <w:pPr>
        <w:ind w:right="1060"/>
        <w:spacing w:after="0" w:line="442" w:lineRule="auto"/>
        <w:rPr>
          <w:sz w:val="20"/>
          <w:szCs w:val="20"/>
          <w:color w:val="auto"/>
        </w:rPr>
      </w:pPr>
      <w:r>
        <w:rPr>
          <w:rFonts w:ascii="Times New Roman" w:cs="Times New Roman" w:eastAsia="Times New Roman" w:hAnsi="Times New Roman"/>
          <w:sz w:val="14"/>
          <w:szCs w:val="14"/>
          <w:color w:val="auto"/>
        </w:rPr>
        <w:t xml:space="preserve">The disclosure tracker is intended to support the Company’s efforts to collect and report on the necessary data sets to effectively measure the Company’s management and progress. </w:t>
      </w:r>
      <w:r>
        <w:rPr>
          <w:rFonts w:ascii="Times New Roman" w:cs="Times New Roman" w:eastAsia="Times New Roman" w:hAnsi="Times New Roman"/>
          <w:sz w:val="14"/>
          <w:szCs w:val="14"/>
          <w:b w:val="1"/>
          <w:bCs w:val="1"/>
          <w:color w:val="auto"/>
        </w:rPr>
        <w:t>Available Information</w:t>
      </w:r>
    </w:p>
    <w:p>
      <w:pPr>
        <w:spacing w:after="0" w:line="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Our Annual Reports on Form 10-K, Quarterly Reports on Form 10-Q, Current Reports on Form 8-K and amendments to such reports are made available, free of charge, on or through the “Investors” portion of our website www.pphcompany.com. Information contained on our website is not part of, nor is it incorporated by reference in, this report or any of our periodic reports. Reports filed with or furnished to the SEC will also be available as soon as reasonably practicable after they are filed with or furnished to the SEC and are available at the SEC’s website at www.sec.gov.</w:t>
      </w:r>
    </w:p>
    <w:p>
      <w:pPr>
        <w:spacing w:after="0" w:line="28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3"/>
          <w:szCs w:val="13"/>
          <w:b w:val="1"/>
          <w:bCs w:val="1"/>
          <w:color w:val="auto"/>
        </w:rPr>
        <w:t>RISK FACTORS</w:t>
      </w:r>
    </w:p>
    <w:p>
      <w:pPr>
        <w:spacing w:after="0" w:line="13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i w:val="1"/>
          <w:iCs w:val="1"/>
          <w:color w:val="auto"/>
        </w:rPr>
        <w:t>An investment in the Company’s Common Stock involves a high degree of risk. You should consider carefully all the risk factors described below, the matters discussed above under “Cautionary Notice Regarding Forward-Looking Statements” and other information included and incorporated by reference in this Annual Report on Form 10-K, as well as in other reports and materials that we file with or furnish to the SEC. If any of the risks described below, or elsewhere in this Annual Report on Form 10-K or our other SEC filings, were to materialize, our business, financial condition, results of operations, cash flows and prospects could be materially adversely affected. In such case, the trading price of the Company’s Common Stock could decline, and investors could lose part or all of their investment. Additional risks and uncertainties not currently known to the Company or that it currently deems immaterial may also materially adversely affect our business, financial condition, results of operations, cash flows and prospects.</w:t>
      </w: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success of our business depends on establishing and maintaining client relationships, in particular with our largest clients.</w:t>
      </w:r>
    </w:p>
    <w:p>
      <w:pPr>
        <w:spacing w:after="0" w:line="13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The success of our business depends on the ability of our individual member companies to establish and maintain strong client relationships. If we fail to build or maintain such relationships, it could have a material adverse effect on our business, financial condition, results of operations, cash flows and prospects. Although we have longstanding relationships with many of our clients, these clients usually do not enter into long-term contracts beyond 12 months, and a significant portion of our contracts with customers have termination clauses that give the customer the right to terminate the contract without cause with one month’s notice without any substantial penalty. In addition, while the majority of our client work is retainer-based, approximately 10% of our revenue is typically generated from project-specific services provided to clients under separate contracts. The continued extension of our retainer-based consulting contracts and the continued uptake of project-specific service contracts depend on our ability to deliver top quality services to our clients and build client trust. In our complex and ever-evolving industry, there can be no assurance that we will be able to do so. Should any of our top clients by revenue terminate their relationship with us or significantly reduce their demand for our services, our revenue would be adversely affected. For the year ended December 31, 2025, fees attributed to our top ten clients (on a consolidated group basis) amounted to 9.2% of our revenue. While revenue from our top clients will vary from period-to-period, the revenue derived from a major client that permanently discontinued or significantly reduced its relationship with us could be difficult to replace, which could negatively impact our prospects.</w:t>
      </w:r>
    </w:p>
    <w:p>
      <w:pPr>
        <w:spacing w:after="0" w:line="102"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ability to maintain and grow our business will depend on our reputation in the industry, which could be adversely impacted by negative publicity, our association with certain clients, our real or perceived failure to manage conflicts of interest or by adverse litigation or other factors.</w:t>
      </w:r>
    </w:p>
    <w:p>
      <w:pPr>
        <w:spacing w:after="0" w:line="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We operate in an industry where integrity, client trust and confidence are paramount and, as a result, maintaining our professional reputation and managing potential conflicts of interest are critical to our business. Our brand and reputations could be negatively impacted by real or perceived conflicts of interest, litigation or claims against us, actual or alleged employee error or misconduct, operational failures, regulatory investigations, press speculation or negative publicity (whether or not based in truth), inadequate or negligent provision of services to clients or disclosure of confidential client information, among other factors. Our brand could also in the future be adversely affected by factors entirely beyond our control, such as the independent actions of our clients or negative media attention paid to our clients for any reason. The potential for negative brand and reputational exposure has increased with the global flow of information via the internet and social media, through which adverse comments, whether substantiated or not, can reach a wide audience very quickly and without appropriate balance or context. Due to the broad scope of our operations and our client base, we regularly address and have, in some instances, had to turn down certain opportunities due to actual and potential conflicts of interest.</w:t>
      </w:r>
    </w:p>
    <w:p>
      <w:pPr>
        <w:spacing w:after="0" w:line="10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face risks of both (i) client conflicts, which are situations where our services to a particular client conflict, or are perceived to conflict, with the interests of another client, and (ii) own-interest conflicts, which are situations where our duty to act in the best interests of any client in relation to a matter conflicts, or there is a significant risk that it may conflict, with our own interests in relation to that or a related matter. Furthermore, where one or more of our member companies have access to material non-public information that may not be shared with our other member companies, it can also lead to an actual or perceived own-interest conflict. While we have extensive procedures and controls that are designed to identify and address conflicts of interest, including those designed to prevent the improper sharing of information among our member companies, appropriately identifying and dealing with conflicts of interest (both client conflicts and own-interest conflicts) is complex and difficult, and our reputation could be damaged and the willingness of clients to enter into engagements with us may be affected, if our procedures or controls fail or we otherwise fail, or appears to fail, to identify, disclose and deal appropriately with conflicts of interest. It is also possible that actual, potential or perceived conflicts could give rise to client dissatisfaction, litigation or regulatory enforcement actions, which could lead to significant reputational harm.</w:t>
      </w:r>
    </w:p>
    <w:p>
      <w:pPr>
        <w:spacing w:after="0" w:line="1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success of our business depends on our reputation for providing high-quality professional services. If any of our member companies are involved in litigation or claims relating to its performance in a particular matter, the reputation of that individual company and the entire Company could be damaged. Our reputation could be damaged through any member company’s disclosed involvement either as an advisor or as a litigant, in high profile or unpopular legal proceedings. We, on behalf of PPHC or any of our member companies, may be required to incur legal expenses in defending PPHC or the member companies against any litigation or claims and may also incur significant reputational and financial harm if such litigation or claims are successful or receive negative press coverage. Any such occurrence which</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damages our reputation could have a material adverse effect on our business, financial condition, results of operations, cash flows and prospects.</w:t>
      </w:r>
    </w:p>
    <w:p>
      <w:pPr>
        <w:spacing w:after="0" w:line="134"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success depends largely on the efforts and abilities of key personnel, on our ability to retain their clients and replace their expertise should they depart and generally on our ability to recruit and retain new employees to grow the business.</w:t>
      </w:r>
    </w:p>
    <w:p>
      <w:pPr>
        <w:spacing w:after="0" w:line="8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Our performance depends, to a significant extent, upon the efforts and abilities of our senior executive officers and revenue-generating employees. At both the Company and member company levels, we depend on the managerial abilities, strategic vision and professional relationships of our senior executive officers, and at the member company level, we also depend on the skill, expertise and client relationships of our key employees who build the client relationships through which we generate our revenues. Each of our businesses is, fundamentally, a “people” business, providing services in respect of which personal relationships are a critical component of successful business development and high client retention rates. The departure of any of our senior executive officers or key revenue-generating employees could have an adverse effect on our business, and no assurance can be given that we would be able to find qualified replacements for any of those individuals if their services were no longer available for any reason. Our success will also depend upon our ability to recruit and retain qualified personnel to fill other positions. Demand for highly qualified and skilled employees is great and, accordingly, no assurance can be given that we will be able to hire or retain sufficient qualified personnel to meet our current and future needs. Carefully managed succession planning is also crucial to ensure our long-term, commercial success and may be difficult to implement.</w:t>
      </w:r>
    </w:p>
    <w:p>
      <w:pPr>
        <w:spacing w:after="0" w:line="10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Our corporate form and compensation structure could prove less attractive to existing or potential employees than the partnership structure more common in our industry, in which partners typically have a direct claim to business profits. In addition, the majority of restricted shares of our Common Stock issued to employees at the time of our admission to trading on AIM and whose vesting was conditional on such employees’ continued employment with us have now vested, and all remaining shares that were issued during that time will vest no later than December 16, 2026, which may provide less incentive to those employees to remain with the Company after they are fully vested. Unlike some of our competitors, we also generally do not pay commissions to our employees, but rather incentivize them through cash and stock bonuses as well as equity incentive awards which are largely discretionary and may be less effective at incentivizing our employees. Because some of our acquired member companies have certain acquisition-related bonus arrangements that provide for certain set levels of employee bonus pools, for example, as a percentage of member company profit, the employees of such member companies may in effect have a disproportionate claim on the funds available for Company bonus awards in any given year, which could reduce the bonus amounts paid to other employees which may impact their decision on whether to remain with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success depends on our ability to continue to develop and execute on our business strategy, in particular through future acquisitions and other strategic transactions.</w:t>
      </w:r>
    </w:p>
    <w:p>
      <w:pPr>
        <w:spacing w:after="0" w:line="138"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A failure to continuously review and adapt our business strategy in light of changes in the markets in which we operate in could have an adverse impact on our revenues, operating costs and competitive advantage. There is a risk that if we fail to prepare or allocate sufficient resources to strategic planning, this may put us at a disadvantage to our competitors.</w:t>
      </w:r>
    </w:p>
    <w:p>
      <w:pPr>
        <w:spacing w:after="0" w:line="8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In particular, our growth to date has been driven in part through the acquisition and successful integration of other businesses in our industry, and we expect to make further business acquisitions and enter into other strategic transactions in the future. There are no guarantees that such transactions will complete or be successful if completed. Strategic transactions such as acquisitions pose a number of specific risks, including the following:</w:t>
      </w:r>
    </w:p>
    <w:p>
      <w:pPr>
        <w:spacing w:after="0" w:line="93" w:lineRule="exact"/>
        <w:rPr>
          <w:sz w:val="20"/>
          <w:szCs w:val="20"/>
          <w:color w:val="auto"/>
        </w:rPr>
      </w:pPr>
    </w:p>
    <w:p>
      <w:pPr>
        <w:ind w:left="760" w:hanging="246"/>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may be difficult to identify complementary candidate businesses or to consummate a strategic transaction with terms or structures that are favorable to us.</w:t>
      </w:r>
    </w:p>
    <w:p>
      <w:pPr>
        <w:spacing w:after="0" w:line="136" w:lineRule="exact"/>
        <w:rPr>
          <w:rFonts w:ascii="Times New Roman" w:cs="Times New Roman" w:eastAsia="Times New Roman" w:hAnsi="Times New Roman"/>
          <w:sz w:val="14"/>
          <w:szCs w:val="14"/>
          <w:color w:val="auto"/>
        </w:rPr>
      </w:pPr>
    </w:p>
    <w:p>
      <w:pPr>
        <w:ind w:left="520" w:right="140" w:hanging="6"/>
        <w:spacing w:after="0" w:line="287" w:lineRule="auto"/>
        <w:tabs>
          <w:tab w:leader="none" w:pos="771"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lose attractive acquisition opportunities to competing bidders such as private equity firms, that have more financial resources and are typically able to pay a larger share of the purchase price in cash.</w:t>
      </w:r>
    </w:p>
    <w:p>
      <w:pPr>
        <w:spacing w:after="0" w:line="81" w:lineRule="exact"/>
        <w:rPr>
          <w:rFonts w:ascii="Times New Roman" w:cs="Times New Roman" w:eastAsia="Times New Roman" w:hAnsi="Times New Roman"/>
          <w:sz w:val="14"/>
          <w:szCs w:val="14"/>
          <w:color w:val="auto"/>
        </w:rPr>
      </w:pPr>
    </w:p>
    <w:p>
      <w:pPr>
        <w:ind w:left="520" w:right="60" w:hanging="6"/>
        <w:spacing w:after="0" w:line="287" w:lineRule="auto"/>
        <w:tabs>
          <w:tab w:leader="none" w:pos="771"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difficulty, disruptions or unforeseen expenses when integrating financial, technological and other systems and may struggle to develop and maintain appropriate and effective internal controls.</w:t>
      </w:r>
    </w:p>
    <w:p>
      <w:pPr>
        <w:spacing w:after="0" w:line="81" w:lineRule="exact"/>
        <w:rPr>
          <w:rFonts w:ascii="Times New Roman" w:cs="Times New Roman" w:eastAsia="Times New Roman" w:hAnsi="Times New Roman"/>
          <w:sz w:val="14"/>
          <w:szCs w:val="14"/>
          <w:color w:val="auto"/>
        </w:rPr>
      </w:pPr>
    </w:p>
    <w:p>
      <w:pPr>
        <w:ind w:left="520" w:right="140" w:hanging="6"/>
        <w:spacing w:after="0" w:line="287" w:lineRule="auto"/>
        <w:tabs>
          <w:tab w:leader="none" w:pos="771"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expose us to compliance obligations under multiple, conflicting and changing governmental laws and regulations, including employment, tax, privacy and data protection laws and regulations and the applicable laws and regulations of the various jurisdictions in which we operate. In particular, in the case of newly</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acquired operations outside the US, this may present increased cost and complexity in terms of regulatory compliance and monitoring, taxation and internal controls.</w:t>
      </w:r>
    </w:p>
    <w:p>
      <w:pPr>
        <w:spacing w:after="0" w:line="136" w:lineRule="exact"/>
        <w:rPr>
          <w:sz w:val="20"/>
          <w:szCs w:val="20"/>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incur significant compensation obligations to newly hired employees, including through earnout commitments provided for in the terms of acquisitions of new businesses.</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may be difficult to effectively regulate and influence the operations of an acquired firm, which could result in damage to our reputation.</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difficulty with payment collections and longer payment cycles.</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Sourcing and integrating strategic transactions can involve significant costs and divert management’s attention from the existing business.</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may be difficult to maintain our current client service standards while addressing the demands of identifying, completing and integrating new business acquisitions.</w:t>
      </w:r>
    </w:p>
    <w:p>
      <w:pPr>
        <w:spacing w:after="0" w:line="136" w:lineRule="exact"/>
        <w:rPr>
          <w:rFonts w:ascii="Times New Roman" w:cs="Times New Roman" w:eastAsia="Times New Roman" w:hAnsi="Times New Roman"/>
          <w:sz w:val="14"/>
          <w:szCs w:val="14"/>
          <w:color w:val="auto"/>
        </w:rPr>
      </w:pPr>
    </w:p>
    <w:p>
      <w:pPr>
        <w:ind w:left="520" w:right="340" w:hanging="6"/>
        <w:spacing w:after="0" w:line="287" w:lineRule="auto"/>
        <w:tabs>
          <w:tab w:leader="none" w:pos="771"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the earnout provisions of our acquisition agreements typically provide for acceleration of earnout awards upon the termination without cause of a seller who stays on post-acquisition, the cost of terminating such employees may increase the cost of any future layoffs or termination for reasons which do not constitute cause.</w:t>
      </w:r>
    </w:p>
    <w:p>
      <w:pPr>
        <w:spacing w:after="0" w:line="81" w:lineRule="exact"/>
        <w:rPr>
          <w:rFonts w:ascii="Times New Roman" w:cs="Times New Roman" w:eastAsia="Times New Roman" w:hAnsi="Times New Roman"/>
          <w:sz w:val="14"/>
          <w:szCs w:val="14"/>
          <w:color w:val="auto"/>
        </w:rPr>
      </w:pPr>
    </w:p>
    <w:p>
      <w:pPr>
        <w:ind w:left="520" w:right="220" w:hanging="6"/>
        <w:spacing w:after="0" w:line="287" w:lineRule="auto"/>
        <w:tabs>
          <w:tab w:leader="none" w:pos="771"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reluctant to strictly enforce the terms of the purchase agreements for acquired companies against sellers, or to pursue damages for breaches of such agreements, where the sellers continue post-acquisition as employees and where such sellers’ continued involvement in the business may be crucial to realizing the value of the acquired company.</w:t>
      </w:r>
    </w:p>
    <w:p>
      <w:pPr>
        <w:spacing w:after="0" w:line="8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disclosure of key terms of material acquisitions may reveal aspects of our bargaining position to sellers of future acquisition targets.</w:t>
      </w:r>
    </w:p>
    <w:p>
      <w:pPr>
        <w:spacing w:after="0" w:line="13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Any of the above factors could result in our inability to realize expected strategic benefits, growth, synergies and other financial benefits or efficiency gains from our future strategic transactions in the timeframe we anticipate or at all, and, as a result, we may not be able to implement our growth strategies successfully. There can also be no assurance that we will be able to generate organic growth through our existing member companies in the future. The occurrence of any of the foregoing could have a material adverse effect on our business, results of operations, financial condition or prospects.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fail to adequately monitor or manage the activities of our member companies, which retain a high degree of autonomy under our business model.</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strategy involves allowing our portfolio companies to operate relatively autonomously with limited interference in day-to-day operations by the Company. We ensure good governance and behavioral standards at each of our member companies, but the possibility of one or more companies within the Company group operating in a way that damages the reputation of the wider Company cannot be ruled out. Our management monitors each of the companies within the Company group, but does not do so on a day-to-day basis, which means that issues that could potentially be detrimental to the Company may not be immediately visible to us. Such issues could therefore escalate before we are able to take remedial action, and this could have a material adverse impact on the wider company.</w:t>
      </w:r>
    </w:p>
    <w:p>
      <w:pPr>
        <w:spacing w:after="0" w:line="99"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compete effectively in new geographies, business lines, and our recently acquired businesses outside the US expose us to regulatory and compliance regimes with which we are relatively unfamiliar.</w:t>
      </w:r>
    </w:p>
    <w:p>
      <w:pPr>
        <w:spacing w:after="0" w:line="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We completed our first business acquisition outside of the United States in June 2024 with the acquisition of London-based Pagefield, expanding the Company’s operations to the UK. In April 2025, we further expanded our territorial reach with the acquisition of TrailRunner, which has offices in London, Shanghai and the United Arab Emirates. In the future, we may also make further strategic acquisitions in these or other jurisdictions outside of the US. While our operations outside of the United States are conducted by local professionals deeply familiar with the markets and regulatory landscapes in which they operate and these companies retain their own compliance and internal reporting protocols to help ensure compliance with applicable law, these operations expose us to new markets, regulations and legal systems with which our management is less familiar and increase the costs and complexity of regulatory compliance and monitoring and operational and commercial coordination across businesses, and may divert management’s time. We may encounter heightened compliance risks in certain jurisdictions, immigration or visa issues with employee relocation or travel</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internationally, be exposed to regulations in one jurisdiction which may overlap with or be inconsistent with regulations in another jurisdiction or face litigation in distant forums.</w:t>
      </w:r>
    </w:p>
    <w:p>
      <w:pPr>
        <w:spacing w:after="0" w:line="13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In addition, we have in recent years expanded our service offerings to include compliance and legislative tracking and research services through our Compliance and Insights Services segment. While adjacent to our other client work, these operations involve a different customer base and competitive landscape and there can be no assurance that the Compliance and Insights Services segment will continue to grow, synergize with our other business lines or contribute meaningfully to our revenue and profitability in the future.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operate in a fragmented and highly competitive industry, and we could lose employees and clients to new or existing competitors or otherwise fail to compete successfully.</w:t>
      </w:r>
    </w:p>
    <w:p>
      <w:pPr>
        <w:spacing w:after="0" w:line="138"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We operate in a highly competitive environment. If we are not successful in anticipating and responding to competitive change, client preferences and needs or industry trends in a timely and cost-effective manner, it could have a material adverse effect on our business, financial condition, results of operations or prospects.</w:t>
      </w:r>
    </w:p>
    <w:p>
      <w:pPr>
        <w:spacing w:after="0" w:line="8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public policy, advocacy and strategic communications markets are highly competitive, fragmented and subject to rapid change due to political uncertainty, technological disruption and regulatory changes. For example, while the lobbying business has to date not faced much disruption from digital technologies, the proliferation and use of digital content, communication and channels has significantly transformed the public relations industry and the way that communications and advocacy are delivered. Data analytics knowledge and tools are becoming increasingly valuable and are more often than not a required hiring criterion for all potential clients. A highly politicized culture, heightened consumer activism, and real-time engagement with stakeholders on social media have increased the costs and technical demands of monitoring, researching and responding to trends in public opinion and formulating effective crisis communication strategies.</w:t>
      </w:r>
    </w:p>
    <w:p>
      <w:pPr>
        <w:spacing w:after="0" w:line="10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Our primary competitors are global, national and regional communications firms, as well as, in some instances, in-house teams of our clients which have continued to add capabilities and expertise internally. Many of these direct competitors are subsidiaries of larger professional services platforms such as FSG Global, Edelman, and Teneo, who may be better able to invest in growth, respond to changes in the market or to compete for professionals by offering greater remuneration or other more favorable employment terms. Large law firms such as Dentons LLP, Holland &amp; Knight LLP and Akin Gump Strauss Hauer &amp; Feld LLP are also very active in the government relations industry and may, in some instances, have deeper relationships with clients based on existing legal engagements which potentially could advantage their selection in certain lobbying assignments.</w:t>
      </w:r>
    </w:p>
    <w:p>
      <w:pPr>
        <w:spacing w:after="0" w:line="101"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In addition to the competitors described above, a high number of boutique firms or sole practitioners remain active in all segments of our market and may, in some areas, have advantages of greater agility, specific industry or issue expertise, or presence in a particular geography, enabling them to compete more effectively, either on specialization or pricing. As these small firms seek to gain market share, there could be increased pricing pressure or pressure to increase expenditure to fund our own organic or strategic growth, which could adversely affect our revenue and earnings.</w:t>
      </w:r>
    </w:p>
    <w:p>
      <w:pPr>
        <w:spacing w:after="0" w:line="91"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face competition from parties who sell their businesses to us, from professionals in acquired businesses who do not continue working for us post-acquisition or from our own former employees.</w:t>
      </w:r>
    </w:p>
    <w:p>
      <w:pPr>
        <w:spacing w:after="0" w:line="8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In connection with business acquisitions, we routinely obtain client and employee non-competition and non-solicitation agreements from senior executives. Such agreements are intended to prohibit such individuals from competing with us during the term of their employment and for a fixed period afterwards and from seeking to solicit our employees or clients. The duration of post-employment, non-competition and non-solicitation agreements with the sellers of businesses or assets that we acquire typically continue for a period corresponding to the applicable earnout period, and, if later, one to two years after termination of employment. However, certain activities may be carved out of, or otherwise may not be prohibited by, such arrangements, and certain events may occur to shorten the restrictive period. In addition, there can be no assurance that a party from whom we acquire a business or assets, or an acquired company employee who does not remain with the company, will not compete with us or solicit our employees or clients in the future.</w:t>
      </w:r>
    </w:p>
    <w:p>
      <w:pPr>
        <w:spacing w:after="0" w:line="10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Many of our written employment arrangements with employees, and agreements with non-employee contractors, include restrictive covenants. However, our employees and other contracted professionals typically have close relationships with the clients they serve based on their expertise and bonds of personal trust and confidence. Therefore, the barriers to such professionals pursuing independent business opportunities or joining our competitors are relatively low. Although our clients generally contract for services with the Company, and not with an individual professional, in the event that a professional leaves, clients may decide that they prefer to continue working with that specific professional rather than with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There can be no assurance that an employee or contractor will not compete with us or solicit our employees or clients in the future.</w:t>
      </w:r>
    </w:p>
    <w:p>
      <w:pPr>
        <w:spacing w:after="0" w:line="13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law governing non-compete agreements and other forms of restrictive covenants varies from state to state. Some jurisdictions where we operate, including California and Washington, D.C., as well as the UK, prohibit or severely restrict employers from entering into non-compete agreements with employees or are reluctant to strictly enforce non-compete agreements and restrictive covenants, especially after termination of employment. Additionally, courts in the US and foreign jurisdictions may interpret restrictions on competition narrowly and in favor of employees or sellers. Therefore, certain restrictions on competition or solicitation may be unenforceable, and there can be no assurance that our non-compete agreements or non-solicitation agreements related to clients, employees or otherwise contracted professionals will be enforceable. In such event, we would be unable to prevent former employees or other professionals from competing with us or soliciting our clients, potentially resulting in the loss of some of our consulting agreements and other business.</w:t>
      </w:r>
    </w:p>
    <w:p>
      <w:pPr>
        <w:spacing w:after="0" w:line="10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In the event an employee departs and acts in a way that we believe violates his or her non-competition or non-solicitation agreement, we will consider any legal remedies against such person on a case-by-case basis. However, we may elect not to pursue legal remedies if we determine that preserving cooperation and a professional relationship with a former employee or his or her clients, or other concerns, outweighs the benefits of any possible legal recourse or the likelihood of success does not justify the costs of pursuing a legal remedy. Such persons, because they have worked for us or a business that we acquire, may be able to compete more effectively with us, or be more successful in soliciting our employees and clients, than unaffiliated third parties.</w:t>
      </w:r>
    </w:p>
    <w:p>
      <w:pPr>
        <w:spacing w:after="0" w:line="96"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Errors in our forecasting and planning, and in setting our financial and operational performance targets, may result in our financial performance being materially worse than expected. The non-GAAP financial metrics that our management uses to measure the success of our business model may not provide the best measurement of our operating performance and may not be comparable to similar metrics used by others in our industry.</w:t>
      </w:r>
    </w:p>
    <w:p>
      <w:pPr>
        <w:spacing w:after="0" w:line="9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Our financial targets are based on management’s estimates and assumptions that are subject to uncertainties and contingencies, and our actual results may be materially lower than our financial performance targets. We have various medium-term revenue growth targets across our member companies, in addition to other financial and operational targets. Although we evaluate our historical performance and strategy in setting these targets, no assurance can be given that we will achieve our targets, which could negatively impact our ability to implement our business strategy. Our strategy, evaluation and financial targets are based on estimates and assumptions that may prove to be inaccurate, including, without limitation, revenue generated by existing or new client engagements, appreciation of our share price and further implementation of connected and managed services, which are all subject to significant business, economic, market and operational uncertainties and contingencies, all of which are to a large extent beyond our control and may adversely affect our ability to achieve our targets. We may not be able to implement our strategy in a manner that generates revenue growth or achieves our other targets. In addition, we also estimate our effective tax rate and any change or incorrect assumption in the tax treatment of our profits may reduce the level of dividends, if any, received by our shareholders. Accordingly, the actual financial performance we achieve may be materially worse than expected, and we may experience a decline in revenue, which could have a materially adverse effect on our profitability and the price of our Common Stock.</w:t>
      </w:r>
    </w:p>
    <w:p>
      <w:pPr>
        <w:spacing w:after="0" w:line="10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Our management relies on a number of operational key performance indicators and non-GAAP financial metrics that we believe help us to gauge the underlying performance of our business and to manage it effectively, including Adjusted EBITDA, Adjusted Net Income and Adjusted Free Cash Flow. There can be no assurance, however, that these metrics are the most accurate or reliable measurements of our operating performance. For instance, while the financial statement line items excluded from Adjusted Net Income and Adjusted EBITDA calculations reflect expenses that we believe are not core to our operating activities, they do represent economic costs of our business model. In addition, such metrics may not be directly comparable to other, similar metrics used or reported by others in our industry, who may calculate performance metrics differently.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macroeconomic and political risks that could negatively impact the demand for our services.</w:t>
      </w:r>
    </w:p>
    <w:p>
      <w:pPr>
        <w:spacing w:after="0" w:line="13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4"/>
          <w:szCs w:val="14"/>
          <w:color w:val="auto"/>
        </w:rPr>
        <w:t>As a business, we do not work exclusively for, or favor, any particular political party over another and so have not experienced, nor do we expect to experience, adverse impacts specific to a change of partisan political control of either the legislative or executive branches of the US government. However, there can be no assurance, particularly in a climate of considerable political polarization, that we will not be negatively impacted in the future in our work with certain clients by our work for other clients, our employment of certain individuals or any of our employees’ or clients’ real or perceived association with a particular group or individual. During US federal election years, demand for our services tends to soften, particularly in the Corporate Communications &amp; Public Affairs Consulting segment, as clients defer spending until after the election cycle. We may be negatively impacted by the suspension of certain US federal government operations in</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connection with the lapse of appropriations. In addition, we are sensitive to adverse economic and market factors. Our customers and the markets in which we operate could be negatively impacted by any of the following factors, which could cause a substantial decline in the demand for our services: declining economic conditions; political unrest; the level and volatility of interest rates; financial market volatility; concerns about inflation; changes in investor sentiment and consumer confidence levels; and legislative and regulatory changes. Uncertain economic prospects or a sustained period of financial instability could have a material adverse effect on our business, results of operations, financial condition and growth prospects.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certain third parties and third-party technology to provide our services and successfully implement our business strategy.</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We may rely on third parties to provide certain services to our clients, including advertisement placement and management, video production and website development. Such services are typically sub-contracted by us to third-party providers as part of our wider service offering to our clients. Should a client be dissatisfied with the quality, timing or cost of any such third-party services, this could negatively impact our relationship with such client or our reputation more broadly. There can be no assurance that we will in the future be able to contract with suitable third parties on favorable terms or at all, or, absent such contracting, to provide all such services in-house to the standard, timing and cost expected by our clients, which could negatively impact our business. We also depend on third-party providers of telecommunications, internet, cloud infrastructure and AI services to operate our business efficiently. There can be no assurance that such providers will maintain reliable and efficient networks and quality of service, and the costs for such services may increase. An interruption to any of these services could be detrimental to our future business, operating results and/or profitability.</w:t>
      </w:r>
    </w:p>
    <w:p>
      <w:pPr>
        <w:spacing w:after="0" w:line="104"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In certain circumstances, we may be liable for the acts or omissions of relevant partners. If a third party pursues claims against us as a result of the acts or omissions of such partners, our ability to recover from such parties may be limited. We are also dependent on our ability to pick appropriate technology partners to help deliver outcomes and solutions to clients. A failure to maintain relationships with and identify appropriate technology partners could affect both the potential profitability and saleability of our services offering.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Disruptions to our information technology systems or cybersecurity breaches could negatively impact our business.</w:t>
      </w:r>
    </w:p>
    <w:p>
      <w:pPr>
        <w:spacing w:after="0" w:line="13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successful operation of our business depends upon maintaining the integrity of our computer, communication and information technology systems. These systems and operations are vulnerable to damage, breakdown or interruption from events which are beyond our control, such as fire, flood and other natural disasters; power loss or telecommunications or data network failures; improper or negligent operation of our system by employees, or unauthorized physical or electronic access and interruptions to internet system integrity generally as a result of cyber-attacks by computer hackers or viruses or other types of security breaches. Currently, we do not have a unified Company information technology infrastructure, or Company-wide support resources. Rather, each of our member companies is responsible for maintaining its own separate information technology infrastructure and forming and implementing its own operating cybersecurity policies and procedures. While we believe that this decentralized approach is suitable for our operations, and, by virtue of its structural redundancies, naturally helps to limit the scope of any individual system failure or cybersecurity breach, there can be no assurance that one or more of our member companies may not have inadequate information technology or cybersecurity infrastructure, support resources or policies, and that a system failure or cybersecurity breach affecting any such member company may not materially impact other member companies.</w:t>
      </w:r>
    </w:p>
    <w:p>
      <w:pPr>
        <w:spacing w:after="0" w:line="106"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Further, any necessary modifications or upgrades to our information technology systems could result in interruption to our business and our ability to serve our clients. This could be harmful to our business, financial condition, results of operations, cash flows and prospects and could deter current or potential customers from using our services. There can be no guarantee that our security measures in relation to our computer, communication and information systems will protect us from all potential breaches of security and any such breach of security could have an adverse effect on our business, financial condition, results of operations, cash flows and prospects.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data privacy laws and regulations could adversely affect our business and reputation.</w:t>
      </w:r>
    </w:p>
    <w:p>
      <w:pPr>
        <w:spacing w:after="0" w:line="13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In the ordinary course of our business, we may collect, generate, use, store, process, disclose, transmit, share and transfer personal data and other sensitive information, including proprietary and confidential business data, trade secrets, intellectual property, and third-party data, through our information technology systems and those of third parties. Our collection and use of personal data may subject us to numerous data privacy and security obligations under various laws, regulations, industry standards, external and internal privacy and security policies and contractual requirements. In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 ensuring the privacy and security of our communications and our clients’ data is critical to maintaining client relationships and our reputation in our industry.</w:t>
      </w:r>
    </w:p>
    <w:p>
      <w:pPr>
        <w:spacing w:after="0" w:line="13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In the US, federal, state, and local governments have enacted numerous data privacy and security laws, including data breach notification laws, personal data privacy laws and consumer protection laws. For example, in recent years, numerous US states including California, Virginia, Colorado, Connecticut, and Utah have enacted comprehensive privacy laws that impose certain obligations on covered businesses, including providing specific disclosures in privacy notices and affording residents with certain rights concerning their personal data, and provide for statutory fines for noncompliance. Outside the US, an increasing number of laws, regulations, and industry standards apply to data privacy and security. For example, the European Union’s General Data Protection Regulation (the “EU GDPR”), the UK’s GDPR (the “UK GDPR”) and the EU Digital Services Act impose strict requirements for processing personal data. For example, under the EU GDPR and UK GDPR, companies may face private litigation, temporary or definitive bans on data processing and fines of up to €20 million or £17.5 million, respectively, or 4% of annual global revenue, whichever is greater. In addition, the European Economic Area and the UK have significantly restricted the transfer of personal data to the US and other countries whose privacy laws it believes are inadequate. Other jurisdictions may adopt similarly stringent interpretations of their data localization and cross-border data transfer laws.</w:t>
      </w:r>
    </w:p>
    <w:p>
      <w:pPr>
        <w:spacing w:after="0" w:line="10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Obligations related to data privacy and security are quickly changing and may be subject to differing applications and interpretations, which may be inconsistent or conflict among jurisdictions. Complying with these obligations requires significant resources and may in the future necessitate changes to our information systems, policies and practices and to those of any third parties upon which we rely. If we or the third parties on which we rely fail, or are perceived to have failed, to address or comply with applicable data privacy and security obligations, we could face significant consequences, including, but not limited to government enforcement actions and litigation, which could have a material adverse effect on our business, financial condition, results of operations, cash flows and prospects.</w:t>
      </w:r>
    </w:p>
    <w:p>
      <w:pPr>
        <w:spacing w:after="0" w:line="99"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operate in multiple jurisdictions and must comply with numerous applicable laws, including regarding restrictions on and reporting of lobbying activity. Should we fail to comply with such laws, the Company could face civil and criminal liability.</w:t>
      </w:r>
    </w:p>
    <w:p>
      <w:pPr>
        <w:spacing w:after="0" w:line="8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As a consulting business, we must comply with many laws and regulations which affect how we do business with our clients. Such laws and regulations may potentially impose added costs on our business and any failure to comply with such laws may lead to civil or criminal penalties or termination of our consulting contracts. Some significant laws and regulations that affect our business and our clients include:</w:t>
      </w:r>
    </w:p>
    <w:p>
      <w:pPr>
        <w:spacing w:after="0" w:line="93" w:lineRule="exact"/>
        <w:rPr>
          <w:sz w:val="20"/>
          <w:szCs w:val="20"/>
          <w:color w:val="auto"/>
        </w:rPr>
      </w:pPr>
    </w:p>
    <w:p>
      <w:pPr>
        <w:jc w:val="both"/>
        <w:ind w:left="520" w:right="60" w:hanging="6"/>
        <w:spacing w:after="0" w:line="270" w:lineRule="auto"/>
        <w:tabs>
          <w:tab w:leader="none" w:pos="771"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restricting lobbying activity and/or requiring registration and reporting obligations with respect to such activity, including the US Lobbying Disclosure Act of 1995 and the Foreign Agents Registration Act of 1938 (each as amended), US state-level regulations and, in the UK, the Transparency of Lobbying, Non-Party Campaigning and Trade Union Administration Act 2014;</w:t>
      </w:r>
    </w:p>
    <w:p>
      <w:pPr>
        <w:spacing w:after="0" w:line="93" w:lineRule="exact"/>
        <w:rPr>
          <w:rFonts w:ascii="Times New Roman" w:cs="Times New Roman" w:eastAsia="Times New Roman" w:hAnsi="Times New Roman"/>
          <w:sz w:val="14"/>
          <w:szCs w:val="14"/>
          <w:color w:val="auto"/>
        </w:rPr>
      </w:pPr>
    </w:p>
    <w:p>
      <w:pPr>
        <w:ind w:left="520" w:right="320" w:hanging="6"/>
        <w:spacing w:after="0" w:line="287" w:lineRule="auto"/>
        <w:tabs>
          <w:tab w:leader="none" w:pos="771"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anti-corruption, sanctions, anti-bribery, anti-money laundering and similar laws, including the US Foreign Corrupt Practices Act of 1977 and the United Kingdom Bribery Act 2010 (each, as amended);</w:t>
      </w:r>
    </w:p>
    <w:p>
      <w:pPr>
        <w:spacing w:after="0" w:line="8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regulations, and executive orders restricting the disclosure and governing the security of sensitive personal information of our employees;</w:t>
      </w:r>
    </w:p>
    <w:p>
      <w:pPr>
        <w:spacing w:after="0" w:line="136" w:lineRule="exact"/>
        <w:rPr>
          <w:rFonts w:ascii="Times New Roman" w:cs="Times New Roman" w:eastAsia="Times New Roman" w:hAnsi="Times New Roman"/>
          <w:sz w:val="14"/>
          <w:szCs w:val="14"/>
          <w:color w:val="auto"/>
        </w:rPr>
      </w:pPr>
    </w:p>
    <w:p>
      <w:pPr>
        <w:ind w:left="520" w:right="80" w:hanging="6"/>
        <w:spacing w:after="0" w:line="270" w:lineRule="auto"/>
        <w:tabs>
          <w:tab w:leader="none" w:pos="771"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and UK securities laws and related regulations, including the rules applicable to AIM listed companies, the UK Market Abuse Regulation and the QCA Corporate Governance Code framework of the Quoted Companies Alliance (the “QCA Code”), which, among other things, have helped shape our corporate governance policies (See “</w:t>
      </w:r>
      <w:r>
        <w:rPr>
          <w:rFonts w:ascii="Times New Roman" w:cs="Times New Roman" w:eastAsia="Times New Roman" w:hAnsi="Times New Roman"/>
          <w:sz w:val="14"/>
          <w:szCs w:val="14"/>
          <w:i w:val="1"/>
          <w:iCs w:val="1"/>
          <w:color w:val="auto"/>
        </w:rPr>
        <w:t>Management—Our Board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Directors” </w:t>
      </w:r>
      <w:r>
        <w:rPr>
          <w:rFonts w:ascii="Times New Roman" w:cs="Times New Roman" w:eastAsia="Times New Roman" w:hAnsi="Times New Roman"/>
          <w:sz w:val="14"/>
          <w:szCs w:val="14"/>
          <w:color w:val="auto"/>
        </w:rPr>
        <w:t>for a discussion of key corporate governance policies);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and regulations concerning taxes, including sales and use taxes, income tax and employment tax, changes to which may materially and adversely affect the results of operations;</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employment laws and regulations, which may classify personnel as an independent contractor or employee;</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social and governance regulations and disclosure requirements; and</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federal, state and local and laws affecting conduct of business.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For additional information on regulations applicable to the Company, see “Business—Governmental Regulation.” In addition, the US government and state and local government adopt new laws, rules, and regulations from time to time that could have a material impact on our results of operations. For example, the US Department of Justice proposed significant changes to FARA regulations in December 2024 that would narrow existing exemptions and expand registration requirements, with final regulations expected in 2025. Adverse developments in legal or regulatory proceedings on matters relating to, among other things, contract interpretations and statute of limitations, could also result in materially adverse judgments, settlements, withheld payments, penalties, or other unfavorable outcomes.</w:t>
      </w:r>
    </w:p>
    <w:p>
      <w:pPr>
        <w:spacing w:after="0" w:line="99"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identified material weaknesses in our internal control over financial reporting. If we are unable to implement and maintain the effectiveness of our internal control over financial reporting, our investors may lose confidence in the accuracy and completeness of our financial reports, which could adversely affect our stock price.</w:t>
      </w:r>
    </w:p>
    <w:p>
      <w:pPr>
        <w:spacing w:after="0" w:line="8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During the preparation of our consolidated financial statements for the year ended December 31, 2024, we determined that certain cash flow items had been incorrectly classified within our consolidated statements of cash flows for the year ended December 31, 2023, specifically the classification of cash flow activities relating to cash payments for post-combination expenses in business combinations. Additionally, we identified that loss per share had not been calculated correctly under the provisions of GAAP.</w:t>
      </w:r>
    </w:p>
    <w:p>
      <w:pPr>
        <w:spacing w:after="0" w:line="9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As a result, we determined that there is a material weakness in our internal controls due to a lack of sufficient controls to ensure certain complex, non-routine transactions and disclosures are appropriately presented within our financial reporting. This material weakness was due to a lack of appropriate technical review and the absence of a formalized accounting policies specific to such transactions and the loss per share computation. In response to this material weakness, we are in the process of remediating our internal controls over financial reporting. Such remediation efforts include having created new positions within the finance department to which we have appointed additional experienced GAAP and internal control reporting specialists, engaged third-party advisors to support our internal control testing and remediation efforts, begun a third-party risk assessment over our internal control environment and are reviewing and prioritizing individual control deficiencies for remediation. We are in the process of documenting and executing remediation action items.</w:t>
      </w:r>
    </w:p>
    <w:p>
      <w:pPr>
        <w:spacing w:after="0" w:line="10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Additionally, during the audit for the period ended December 31, 2025, we identified a material weakness in the aggregate in our internal control over financial reporting. Specifically, we determined that certain aspects of our control environment were not operating at the level of effectiveness required, in part due to an insufficient complement of qualified technical accounting and financial reporting personnel to consistently perform control activities, including those involving complex and/or non-routine transactions.</w:t>
      </w:r>
    </w:p>
    <w:p>
      <w:pPr>
        <w:spacing w:after="0" w:line="93"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Additionally, we determined that certain control and monitoring activities were not operating as intended, as we identified control issues related to information technology general controls, including areas of change management, user access controls, segregation of duties within our information technology environment.</w:t>
      </w:r>
    </w:p>
    <w:p>
      <w:pPr>
        <w:spacing w:after="0" w:line="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Throughout the current year, management implemented remediation actions to address these material weaknesses, including expanding and improving review processes, improving access to technical accounting resources, and supplementing the team with additional personnel possessing relevant experience and training, and strengthening oversight and testing of information technology general controls. We will not be able to conclude whether the steps we are taking will fully remediate the remaining material weakness in our internal control over financial reporting until we have completed our remediation efforts and subsequent evaluation of their effectiveness. We may also conclude that additional measures may be required to remediate the material weakness in our internal control over financial reporting.</w:t>
      </w:r>
    </w:p>
    <w:p>
      <w:pPr>
        <w:spacing w:after="0" w:line="10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Notwithstanding such remediation measures, however, there can be no assurance such remediation will be successful or that we will not fail to identify new material weaknesses or other deficiencies in our internal controls in the future. As a result of such historical or potential future deficiencies or material weaknesses, investors may lose confidence in the accuracy and completeness of our financial reports, the market price of our Common Stock could be adversely affected and we could become subject to litigation or investigations, which could require additional financial and management resources.</w:t>
      </w:r>
    </w:p>
    <w:p>
      <w:pPr>
        <w:spacing w:after="0" w:line="9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Pursuant to Section 404 of the Sarbanes-Oxley Act and the related rules adopted by the SEC and the Public Company Accounting Oversight Board (the “PCAOB”), starting with the second annual report that we file with the SEC after this initial Annual Report on Form 10-K, our management will be required to report on the effectiveness of our internal control over financial reporting. We may encounter problems or delays in completing the implementation of the changes necessary to our internal control over financial reporting to conclude such controls are effective. If we identify additional material weaknesses in our internal control over financial reporting, if we are unable to comply with the requirements of Section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404 in a timely manner or assert that our internal control over financial reporting is effective, investor confidence and our stock price could decline.</w:t>
      </w:r>
    </w:p>
    <w:p>
      <w:pPr>
        <w:spacing w:after="0" w:line="136"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Additionally, when we cease to be an “emerging growth company” under Section 404 of the Sarbanes-Oxley Act, our independent registered public accounting firm may be required to express an opinion on the effectiveness of our internal controls. If our independent registered public accounting firm is unable to express an unqualified opinion on the effectiveness of our internal controls, we could lose investor confidence in the accuracy and completeness of our financial reports, which could cause the price of our Common Stock to decline.</w:t>
      </w:r>
    </w:p>
    <w:p>
      <w:pPr>
        <w:spacing w:after="0" w:line="9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Matters impacting our internal controls may cause us to be unable to report our financial information on a timely basis and thereby subject us to adverse regulatory consequences, including sanctions by the SEC or violations of Nasdaq rules. There also could be a negative reaction in the financial markets due to a loss of investor confidence in us and the reliability of our financial statements. Confidence in the reliability of our financial statements also could suffer if we were to report any additional material weaknesses in our internal controls over financial reporting. This could materially adversely affect the price of our Common Stock.</w:t>
      </w:r>
    </w:p>
    <w:p>
      <w:pPr>
        <w:spacing w:after="0" w:line="96" w:lineRule="exact"/>
        <w:rPr>
          <w:sz w:val="20"/>
          <w:szCs w:val="20"/>
          <w:color w:val="auto"/>
        </w:rPr>
      </w:pPr>
    </w:p>
    <w:p>
      <w:pPr>
        <w:ind w:right="5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Servicing our debt requires a significant amount of cash, and our Bank Credit Facilities contain certain restrictive covenants, which could affect our ability to operate our business and implement our business plan.</w:t>
      </w:r>
    </w:p>
    <w:p>
      <w:pPr>
        <w:spacing w:after="0" w:line="8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Under the Bank Credit Facilities (as defined below), we had four senior secured term loans with an aggregate principal amount of $47.1 million outstanding as of December 31, 2025, and an additional senior secured facility under which we may borrow up to an additional $3.0 million. We may incur additional debt in the future to finance our strategic acquisitions, fund our operations or for other corporate purposes.</w:t>
      </w:r>
    </w:p>
    <w:p>
      <w:pPr>
        <w:spacing w:after="0" w:line="9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4"/>
          <w:szCs w:val="14"/>
          <w:color w:val="auto"/>
        </w:rPr>
        <w:t>Our ability to make scheduled payments of the principal, to pay interest on and to refinance our indebtedness, including the Bank Credit Facilities, depends on our future performance, which is subject to economic, financial, competitive and other factors beyond our control. A portion of cash flow from operations is expected to be dedicated to the payment of principal and interest on our debt, therefore reducing our ability to use our cash flow to fund our operations, capital expenditures, future business opportunities, acquisitions and other general corporate purposes. Our ability to capitalize on business opportunities and to react to competitive pressures, as compared to our competitors, may be compromised as a result of such debt obligations. Our business may not generate cash flow from operations in the future sufficient to service our debt and make necessary capital expenditures. If we are unable to generate sufficient cash flow, we may be required to adopt one or more alternatives, such as selling assets, restructuring our debt or obtaining additional equity capital on terms that may be onerous or highly dilutive. Our ability to refinance our indebtedness will depend on the capital markets and our financial condition at such time. We may not be able to engage in any of these activities on desirable terms or at all, which could result in a default on our debt obligations.</w:t>
      </w:r>
    </w:p>
    <w:p>
      <w:pPr>
        <w:spacing w:after="0" w:line="10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4"/>
          <w:szCs w:val="14"/>
          <w:color w:val="auto"/>
        </w:rPr>
        <w:t>In addition, the Bank Credit Facilities contain certain restrictive covenants, including covenants restricting our ability to incur debt, undertake certain investments, pay dividends or make certain other payments, and require us to maintain a certain fixed charge coverage ratio, which could restrict our ability to implement our business strategy in the future. Our obligations under the Bank Credit Facilities are also secured by substantially all of our assets, and were we to default on our obligations under the Bank Credit Facilities, the lender could seek enforcement against any or all of our assets.</w:t>
      </w:r>
    </w:p>
    <w:p>
      <w:pPr>
        <w:spacing w:after="0" w:line="267"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For further information on our outstanding debt, please see “</w:t>
      </w:r>
      <w:r>
        <w:rPr>
          <w:rFonts w:ascii="Times New Roman" w:cs="Times New Roman" w:eastAsia="Times New Roman" w:hAnsi="Times New Roman"/>
          <w:sz w:val="14"/>
          <w:szCs w:val="14"/>
          <w:i w:val="1"/>
          <w:iCs w:val="1"/>
          <w:color w:val="auto"/>
        </w:rPr>
        <w:t>Management’s Discussion and Analysis of Financial Condition and Results of Operations—Liquidity and Capital Resources—Contractual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Commitments and Contingencies—Financial Obligations.</w:t>
      </w:r>
      <w:r>
        <w:rPr>
          <w:rFonts w:ascii="Times New Roman" w:cs="Times New Roman" w:eastAsia="Times New Roman" w:hAnsi="Times New Roman"/>
          <w:sz w:val="14"/>
          <w:szCs w:val="14"/>
          <w:color w:val="auto"/>
        </w:rPr>
        <w:t>”</w:t>
      </w:r>
    </w:p>
    <w:p>
      <w:pPr>
        <w:spacing w:after="0" w:line="78"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litigation, including securities litigation, or investigations by governmental or other bodies, and we may incur costs related to complying with investigations or litigation involving our clients and to which we are not a party.</w:t>
      </w:r>
    </w:p>
    <w:p>
      <w:pPr>
        <w:spacing w:after="0" w:line="8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We may be subject in the future to litigation involving our clients, competitors, employees, directors or third parties and may incur significant legal and other costs in connection with such litigation. As a result of being a US listed company, we may face increased risk of shareholder litigation, including securities law claims. We have historically had to incur costs related to complying with subpoenas for information in connection with litigation or investigations involving clients to which we were not a party. These included costs of counsel to advise on such information requests and on compliance with our confidentiality obligations to the relevant clients, and administrative costs related to complying with such information requests. We may in the future be subject to similar requests in connection with litigation or investigations involving our clients. While we generally seek indemnification for any such costs in our client agreements, not all client agreements include such indemnities, and there can be no assurance that we will be able to collect on such indemnities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where they are provided. As a result, we could in the future incur substantial costs in relation to compliance with any such information requests.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obtain insurance coverage to adequately cover all significant risk exposures.</w:t>
      </w:r>
    </w:p>
    <w:p>
      <w:pPr>
        <w:spacing w:after="0" w:line="13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There can be no assurance that we will be able to acquire or maintain insurance for all risks that may affect our business, that the amount of our insurance coverage will be adequate to cover all claims or liabilities, or that we will not be forced to bear substantial costs resulting from risks and uncertainties of business. It also may not be possible to obtain insurance to protect against all operational risks and liabilities. The failure to obtain adequate insurance coverage on terms favorable to us, or at all, could have a material adverse effect on our business, financial condition, results of operations, cash flows and prospects.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maintain compliance with Nasdaq’s listing standards, which could limit stockholders’ ability to trade our Common Stock.</w:t>
      </w:r>
    </w:p>
    <w:p>
      <w:pPr>
        <w:spacing w:after="0" w:line="138"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As a listed company on Nasdaq, we will be required to meet certain financial, public float, bid price and liquidity standards on an ongoing basis in order to continue the listing of our Common Stock. If we fail to meet these continued listing requirements, our Common Stock may be subject to delisting, which could materially impact the liquidity of our Common Stock making it more challenging to buy and sell shares of our Common Stock.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and trading volume of our Common Stock may be volatile and may be affected by economic conditions beyond our control.</w:t>
      </w:r>
    </w:p>
    <w:p>
      <w:pPr>
        <w:spacing w:after="0" w:line="13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There can be no assurance that the trading market for our Common Stock will be sufficiently liquid to accommodate the sale of your Common Stock, and the trading volume of our Common Stock may fluctuate and cause significant price variations to occur. The market price of our Common Stock may be highly volatile and subject to wide fluctuations. If the market price of our Common Stock declines significantly, you may be unable to resell your Common Stock at a competitive price. We cannot assure you that the market price of our Common Stock will not fluctuate or significantly decline in the future.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Some specific factors that could negatively affect the price of our Common Stock or result in fluctuations in their price and trading volume include:</w:t>
      </w:r>
    </w:p>
    <w:p>
      <w:pPr>
        <w:spacing w:after="0" w:line="136" w:lineRule="exact"/>
        <w:rPr>
          <w:sz w:val="20"/>
          <w:szCs w:val="20"/>
          <w:color w:val="auto"/>
        </w:rPr>
      </w:pPr>
    </w:p>
    <w:p>
      <w:pPr>
        <w:ind w:left="760" w:hanging="246"/>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expected fluctuations in our prospects or operating results;</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our key personnel;</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or proposed changes in laws, regulations or tax policy;</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or perceived potential sales of our Common Stock by us or our directors, senior management or stockholders in the future;</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or expectations concerning additional financing efforts or business acquisitions;</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publicity about us, our management, or our industry in general; and</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in the US and global financial markets, or in our industry in particular, or changes in general economic conditions.</w:t>
      </w:r>
    </w:p>
    <w:p>
      <w:pPr>
        <w:spacing w:after="0" w:line="134" w:lineRule="exact"/>
        <w:rPr>
          <w:sz w:val="20"/>
          <w:szCs w:val="20"/>
          <w:color w:val="auto"/>
        </w:rPr>
      </w:pPr>
    </w:p>
    <w:p>
      <w:pPr>
        <w:ind w:right="5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will incur increased costs and our management will face increased demands as a result of operating as a company listed on Nasdaq and subject to Exchange Act reporting and other obligations.</w:t>
      </w:r>
    </w:p>
    <w:p>
      <w:pPr>
        <w:spacing w:after="0" w:line="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As a Nasdaq listed company and SEC registrant, we are subject to certain reporting and other obligations which will result in significant legal, accounting and other expenses that we did not incur prior to Nasdaq listing. For example, we will need to maintain certain additional internal controls, disclosure controls and procedures and prepare and distribute periodic public reports. We are required to ensure that we have the ability to prepare consolidated financial statements that comply with SEC reporting requirements on a timely basis, and are subject to other reporting and corporate governance requirements, including Nasdaq listing standards and certain provisions of the Sarbanes-Oxley Act and the regulations promulgated thereunder, which impose significant compliance obligations upon us. We are also required to maintain a majority independent board of directors and maintain board committees that meet independence and other requirements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that may differ from those to which we have been subject historically. There can be no assurance that our board of directors (the "Board" or "Board of Directors"), as thus reconstituted, will continue to be as effective as it has been historically or that we will not experience challenges in the transition to Nasdaq compliant corporate governance arrangements.</w:t>
      </w:r>
    </w:p>
    <w:p>
      <w:pPr>
        <w:spacing w:after="0" w:line="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As a public company, we are required to commit significant resources and management time and attention to these requirements, which will cause us to incur significant costs and which may place a strain on our systems and resources. As a result, our management’s attention might be diverted from other business concerns. In addition, we might not be successful in implementing these requirements. In addition, changing laws, regulations and standards relating to corporate governance and public disclosure, including the Sarbanes-Oxley Act, the Dodd-Frank Act and related regulations implemented by the SEC and Nasdaq, are creating uncertainty for public companies, increasing legal and financial compliance costs and making some activities more time-consuming. We are currently evaluating and monitoring developments with respect to new and proposed rules and cannot predict or estimate the amount of additional costs we may incur or the timing of such costs.</w:t>
      </w:r>
    </w:p>
    <w:p>
      <w:pPr>
        <w:spacing w:after="0" w:line="10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Being a Nasdaq listed company subject to these new rules and regulations may make it more expensive for us to obtain director and officer liability insurance. These factors could also make it more difficult for us to attract and retain qualified members of our board of directors, particularly to serve on our audit committee and compensation committee, and attract and retain qualified executive officers.</w:t>
      </w:r>
    </w:p>
    <w:p>
      <w:pPr>
        <w:spacing w:after="0" w:line="99"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face increased risks of shareholder activism, particularly if our US and institutional investor base grows as a result of the initial public offering or our US listing, which could divert management attention and impact our ability to execute on our current business plan.</w:t>
      </w:r>
    </w:p>
    <w:p>
      <w:pPr>
        <w:spacing w:after="0" w:line="80"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The increased costs associated with operating as a Nasdaq listed company may decrease our net income and may cause us to reduce costs in other areas of our business or increase the prices of our services to offset the effect of such increased costs. Additionally, if these requirements divert our management’s attention from other business concerns, they could have a material adverse effect on our business, financial condition, results of operations, cash flows and prospects.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operating and financial performance in any given period does not meet or exceed the guidance that we provide to the public, the market price of our Common Stock may decline.</w:t>
      </w:r>
    </w:p>
    <w:p>
      <w:pPr>
        <w:spacing w:after="0" w:line="13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may, but are not obligated to, provide public guidance on our expected operating and financial results for future periods. If we elect to issue such guidance, it will be composed of forward-looking statements subject to the risks and uncertainties described in this Annual Report on Form 10-K. Our actual results may not always be in line with or exceed any guidance we have provided, especially in times of economic uncertainty. If, in the future, our operating or financial results for a particular period do not meet any guidance we provide or the expectations of investment analysts, or if we reduce our guidance for future periods, the market price of our Common Stock may decline.</w:t>
      </w:r>
    </w:p>
    <w:p>
      <w:pPr>
        <w:spacing w:after="0" w:line="96"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You may be diluted by future issuances of preferred stock or additional Common Stock in connection with our employee incentive plans, acquisitions or otherwise; future sales of such shares in the public market, or the expectations that such sales may occur, could lower our stock price.</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We may from time to time issue new Common Stock, preferred stock, debt instruments or other securities convertible into Common Stock under employee incentive plans, in connection with investments or business acquisitions or to raise funds. Our certificate of incorporation authorizes us to issue one or more classes or series of preferred stock having such designations, preferences, limitations and relative rights, including preferences over Common Stock respecting dividends and distributions, as our board of directors may determine (subject, for so long as our Common Stock is admitted for trading on AIM, to approval at a general meeting by shareholders at which a quorum is present by 75% of the votes cast on the matter). The terms of one or more classes or series of preferred stock could adversely impact the voting power or value of our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grant to holders of preferred stock could affect the residual value of our Common Stock.</w:t>
      </w:r>
    </w:p>
    <w:p>
      <w:pPr>
        <w:spacing w:after="0" w:line="104"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 Company cannot predict the size or price of future issuances of Common Stock or the size or terms of future issuances of preferred stock or debt instruments or other securities convertible into Common Stock, or the effect, if any,</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that future issuances and sales of the Company’s securities will have on the market price of the Common Stock. Sales or issuances of substantial numbers of shares of Common Stock or preferred stock, or the perception that such sales or issuances could occur, may adversely affect the prevailing market price of the Common Stock. With any additional sale or issuance of Common Stock or preferred stock, or securities convertible into Common Stock, investors will suffer dilution to their voting power and the Company may experience dilution in its earnings per share.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dual listing of our Common Stock is costly to maintain, may adversely affect the liquidity and value of our Common Stock and may increase our exposure to securities litigation.</w:t>
      </w:r>
    </w:p>
    <w:p>
      <w:pPr>
        <w:spacing w:after="0" w:line="13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Our Common Stock trades on AIM and Nasdaq. We plan for the foreseeable future to maintain a dual listing, which will generate additional costs, including increased legal, accounting, investor relations and other expenses that we did not incur prior to the listing of our Common Stock on Nasdaq, in addition to the costs associated with the additional reporting requirements described elsewhere in this report. We cannot predict the effect of this dual listing on the value of our Common Stock. However, the dual listing of Common Stock may over time dilute our liquidity in one or both markets and may adversely affect the development of an active trading market for our Common Stock in the US.</w:t>
      </w:r>
    </w:p>
    <w:p>
      <w:pPr>
        <w:spacing w:after="0" w:line="9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4"/>
          <w:szCs w:val="14"/>
          <w:color w:val="auto"/>
        </w:rPr>
        <w:t>Further, being a UK listed company and a US public company with Common Stock admitted to trading on AIM impacts the disclosure of information and requires compliance with two sets of applicable rules. From time to time, this may result in uncertainty regarding compliance matters and result in higher costs necessitated by legal analysis of dual legal regimes, ongoing revisions to disclosure and adherence to heightened governance practices. As a result of the enhanced disclosure requirements of the US securities laws, business and financial information that we report is broadly disseminated and highly visible to investors, which may increase the likelihood of threatened or actual litigation, including by competitors and other third parties, which could, even if unsuccessful, divert financial resources and the attention of our management and key employees from our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 may not be declared or paid to holders of our Common Stock.</w:t>
      </w:r>
    </w:p>
    <w:p>
      <w:pPr>
        <w:spacing w:after="0" w:line="138"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The declaration and payment of dividends by us will be at the sole discretion of our board of directors. While historically, we have issued dividends from the Company’s adjusted net profit after tax, our dividend policy may change and there can be no assurance that any dividends will be declared or paid. For example, in January 2025, we reduced our dividend rate by approximately one half in order to retain more cash within the business to fund continued growth in the business.</w:t>
      </w:r>
    </w:p>
    <w:p>
      <w:pPr>
        <w:spacing w:after="0" w:line="9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Our dividend policy is within the discretion of our board of directors and will depend upon then-existing conditions, including our results of operations, financial condition, capital requirements, investment opportunities, statutory or contractual restrictions on our ability to pay dividends and other factors our board of directors may deem relevant. In addition, the Bank Credit Facilities place, and future debt agreements may place, certain restrictions on our ability to pay cash dividends on our Common Stock. Should our board of directors decide not to declare a dividend, your only opportunity to achieve a return on your investment may be if the price of our Common Stock appreciates, which cannot be ensured.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the reduced disclosure requirements applicable to emerging growth companies may make our Common Stock less attractive to investors.</w:t>
      </w:r>
    </w:p>
    <w:p>
      <w:pPr>
        <w:spacing w:after="0" w:line="13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For as long as we continue to be an emerging growth company, we may take advantage of certain exemptions and relief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in this Annual Report on Form 10-K and our periodic reports and proxy statements and (iii) exemptions from the requirements of holding a nonbinding advisory vote on executive compensation and shareholder approval of any golden parachute payments not previously approved. We may take advantage of these exemptions until such time that we are no longer an emerging growth company. Accordingly, the information contained herein may be different than the information you receive from other public companies in which you hold stock.</w:t>
      </w:r>
    </w:p>
    <w:p>
      <w:pPr>
        <w:spacing w:after="0" w:line="10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We will remain an emerging growth company until the earliest of (i) the last day of the fiscal year in which we have total annual gross revenue of at least $1.235 billion, (ii) the last day of the fiscal year in which we are deemed to be a “large accelerated filer” as defined in Rule 12b-2 under the Exchange Act, (iii) the date on which we have issued more than $1.0 billion in non-convertible debt securities during the prior three-year period or (iv) the last day of the fiscal year after the fifth anniversary of the date of the first sale of common equity securities under an effective registration statement as an emerging growth company.</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It is possible that some investors will find our Common Stock less attractive as a result of the foregoing, which may result in a less active trading market for our Common Stock and higher volatility in our stock price.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employees, management and principal stockholders own the majority of our stock and will be able to exert control over matters subject to stockholder approval.</w:t>
      </w:r>
    </w:p>
    <w:p>
      <w:pPr>
        <w:spacing w:after="0" w:line="13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As of March 24, 2026, our executive officers and directors and their respective affiliates in aggregate held, directly or indirectly, 14.0% of our outstanding Common Stock, and our employees held a further 46.3% of our Common Stock. Affiliate and other shareholders of the Company have sold, in aggregate, approximately 750,000 shares of common stock at the US initial public offering, representing approximately 2.6% of the shares of the Company’s common stock outstanding as of January 29, 2026. We are not aware of any intention by any such persons to act in concert or otherwise in order to control matters requiring stockholder approval. However, to the extent that the same group continue to own a significant percentage of our Common Stock, these stockholders, collectively, will be able to exert significant control over the management and affairs of our company and most matters requiring stockholder approval, including the election of directors, amendments of our organizational documents and approval of any merger, sale of substantially all our assets or other significant corporate transactions. Such shareholders, particularly those who are directors, officers or employees of the Company, may have interests that differ from the interests of other shareholders. This concentration of ownership may also prevent or discourage unsolicited acquisition proposals or offers for our Common Stock, or nomination of potential directors, that you or other stockholders may feel are in your or their best interest as one of our stockholders.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Provisions of our certificate of incorporation and bylaws may delay or prevent a takeover that may not be in the best interests of our stockholders.</w:t>
      </w:r>
    </w:p>
    <w:p>
      <w:pPr>
        <w:spacing w:after="0" w:line="138"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Provisions of our certificate of incorporation and bylaws may be deemed to have anti-takeover effects which may delay, defer or prevent a takeover attempt (which include, among others, provisions for (i) a classified board of directors serving staggered three-year terms, (ii) who can fill vacancies of our board of directors and (iii) when and by whom special meetings of our stockholders may be called).</w:t>
      </w:r>
    </w:p>
    <w:p>
      <w:pPr>
        <w:spacing w:after="0" w:line="91"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8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Our certificate of incorporation provides that, unless otherwise consented to by us, the Court of Chancery of the State of Delaware, shall be the sole and exclusive forum for (a) any derivative action or proceeding brought on behalf of the Company; (b) any action asserting a claim of breach of a fiduciary duty owed by any director, officer or other employee of the Company to the Company or the shareholders; (c) any action asserting a claim against the Company arising pursuant to any provision of the Delaware Corporation Law, our certificate of incorporation or our bylaws; (d) any action to interpret, apply, enforce or determine the validity of our certificate of incorporation or our bylaws; or (e) any action asserting a claim against the Company governed by the internal affairs doctrine. Unless the Company consents in writing to the selection of an alternative forum, the federal district courts of the United States of America shall be the exclusive forum for the resolution of any complaint asserting a cause of action arising under the US Securities Act of 1933, as amended (the "Securities Act"), or under Nasdaq or AIM rules.</w:t>
      </w:r>
    </w:p>
    <w:p>
      <w:pPr>
        <w:spacing w:after="0" w:line="1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As noted above, our certificate of incorporation provides that the federal district courts of the United States will be the exclusive forum for the resolution of any complaint asserting a cause of action under the Securities Act. Due to the concurrent jurisdiction for federal and state courts created by Section 22 of the Securities Act over all suits brought to enforce any duty or liability created by the Securities Act or the rules and regulations thereunder, there is uncertainty as to whether a court would enforce the exclusive forum provision. Investors also cannot waive compliance with the federal securities laws and the rules and regulations thereunder.</w:t>
      </w:r>
    </w:p>
    <w:p>
      <w:pPr>
        <w:spacing w:after="0" w:line="10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We believe our choice of forum provision may benefit us by providing increased consistency in the application of Delaware law by chancellors and judges particularly experienced in resolving corporate disputes, efficient administration of cases on a more expedited schedule relative to other forums and protection against the burdens of multi-forum litigation. However, our choice of forum provision may impose additional litigation costs on stockholders in pursuing claims and may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limit a stockholder’s ability to bring a claim in a judicial forum that it believes to be favorable for disputes with us or any of our directors, officers or other employees, which may discourage lawsuits with respect to such claims. In addition, while the Delaware courts have determined that such choice of forum provisions are facially valid, a stockholder may nevertheless seek to bring a claim in a venue other than those designated in the choice of forum provision, and there can be no assurance that such provision will be enforced by a court in those other jurisdictions. If a court were to find the choice of forum provision in our certificate of incorporation to be inapplicable or unenforceable in an action, we may incur additional costs associated with resolving such action in other jurisdictions, which could adversely affect our business, financial condition, results of operations, cash flows and prospects.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by existing shareholders can reduce share prices.</w:t>
      </w:r>
    </w:p>
    <w:p>
      <w:pPr>
        <w:spacing w:after="0" w:line="13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Sales of a substantial number of shares of our Common Stock in the public market could occur at any time. Such sales, or any market perception that substantial holders of our Common Stock intend to sell our Common Stock, could reduce the market price of our Common Stock. If this occurs and continues, it could impair the Company’s ability to raise additional capital through the sale of securities. In addition, as currently unvested shares of our Common Stock held by our employees vest over time, and as we issue earnout shares pursuant to the historical acquisition agreements relating to our acquired member companies, the number of shares of Common Stock which may be sold will increase, which could reduce the market price of our Common Stock.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is a holding company and, as such, it depends on its subsidiaries for cash to fund its operations and expenses.</w:t>
      </w:r>
    </w:p>
    <w:p>
      <w:pPr>
        <w:spacing w:after="0" w:line="1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The Company is a holding company and essentially all of its assets are its equity ownership interests in its subsidiaries. As a result, investors in the Company are subject to the risks attributable to its subsidiaries. As a holding company, the Company conducts all of its business through its subsidiaries. Therefore, our ability to fund and conduct our business, service our debt and pay dividends, if any, in the future will principally depend on the ability of our subsidiaries to generate sufficient cash flow to make upstream cash distributions to us. Our subsidiaries are separate legal entities, and although they are wholly-owned and controlled by us, they have no obligation to make any funds available to us, whether in the form of loans, dividends or otherwise. The ability of these entities to pay dividends and other distributions will depend on their operating results and will be subject to applicable laws and regulations which require that solvency and capital standards be maintained by such companies and contractual restrictions contained in the instruments governing any debt obligations. In the event of a bankruptcy, liquidation or reorganization of any of the Company’s material subsidiaries, holders of indebtedness and trade creditors may be entitled to payment of their claims from the assets of those subsidiaries before the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3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certificate of incorporation provides that we will indemnify our directors and officers, in each case, to the fullest extent permitted by Delaware law. Our certificate of incorporation also allows our board of directors to indemnify other employees. This indemnification will extend to the payment of judgments in actions against officers and directors and to reimbursement of amounts paid in settlement of such claims or actions and may apply to judgments in favor of the Company or amounts paid in settlement to the Company. This indemnification will also extend to the payment of attorneys’ fees and expenses of officers and directors in suits against them where the officer or director acted in good faith and in a manner he or she reasonably believed to be in, or not opposed to, the best interests of the Company, and, with respect to any criminal action or proceeding, he or she had no reasonable cause to believe his or her conduct was unlawful. This right of indemnification is not exclusive of any right to which the officer or director may be entitled as a matter of law and shall extend and apply to the estates of deceased officers and directors.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Reports published by analysts, including projections in those reports that differ from our actual results, could adversely affect the price and trading volume of our Common Stock.</w:t>
      </w:r>
    </w:p>
    <w:p>
      <w:pPr>
        <w:spacing w:after="0" w:line="138"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Securities research analysts may establish and publish their own periodic projections for our Company. These projections may vary widely and may not accurately predict the results we actually achieve. The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our stock price could decline. If one or more of these analysts ceases coverage of us or fails to publish reports on us regularly, our stock price or trading volume could decline.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written down some of our goodwill from our prior acquisitions and could experience additional charges to our intangible assets, which may affect our results of operations in the future.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As a result of prior acquisitions, we had an amount of goodwill and purchased intangible assets on our consolidated balance sheet. As of December 31, 2025, a portion of the goodwill from prior a acquisition was impaired, as referenced in Note 6. Goodwill And Intangible Assets. Unfavorable changes in the business climate or competitive environment, our revenue forecasts, our market capitalization, capital structure, capital expenditure levels, operating cash flows, as well as adverse legal or regulatory actions or developments could cause further material impairments to the carrying value of our intangible assets or intangible assets we may obtain in future periods. We will continue to monitor indicators of possible impairment that would cause a triggering event requiring us to complete an interim impairment analysis and possibly recognize additional impairment charges in the future. Impairment charges to our intangible assets could have a material adverse effect on our financial condition, and 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b w:val="1"/>
          <w:bCs w:val="1"/>
          <w:color w:val="auto"/>
        </w:rPr>
        <w:t>ITEM 1C.</w:t>
        <w:tab/>
        <w:t>CYBER SECURITY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 Management and Strategy</w:t>
      </w:r>
    </w:p>
    <w:p>
      <w:pPr>
        <w:spacing w:after="0" w:line="138"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We have established processes (including policies) for assessing, identifying, managing, and disclosing material risk from cybersecurity threats, and have integrated these processes into our overall risk assessment and risk management procedures. We routinely assess material risks from cybersecurity threats, including any potential unauthorized access to, or other breach of our information systems, that may result in adverse effects on the confidentiality, integrity, or availability of our information systems or any information residing therein.</w:t>
      </w:r>
    </w:p>
    <w:p>
      <w:pPr>
        <w:spacing w:after="0" w:line="9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Each of our member companies is responsible for maintaining its own separate information technology infrastructure and forming and implementing its own operating cybersecurity policies and procedures, which are implemented and overseen with the assistance of managed service providers ("MSPs") or in-house technology professionals responsible for maintaining networks and managing the monitoring, detection, mitigation, and prevention of cybersecurity threats to the member companies.</w:t>
      </w:r>
    </w:p>
    <w:p>
      <w:pPr>
        <w:spacing w:after="0" w:line="93"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The Company maintains a Global Cybersecurity Incident Response Plan (“IRP”), which serves as the overarching incident response process applicable to all information security and IT incidents at the holding company and its member companies. The IRP is designed to minimize the impact of cybersecurity incidents through timely and effective response, rapidly mitigate continued threats, and ensure that incidents are handled consistently across the organization.</w:t>
      </w:r>
    </w:p>
    <w:p>
      <w:pPr>
        <w:spacing w:after="0" w:line="9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As of the date of this report, we have not experienced any cybersecurity incidents that have materially affected us, including our business strategy, results of operations, or financial condition, and we are not aware of any material risks from cybersecurity threats that are reasonably likely to do so. There can be no assurance, however, that we will not be materially affected by such risks in the future. For certain risks from cybersecurity threats that may materially affect our business strategy, results of operations, or financial condition, see Item 1A, “Risk Factors,” including the section titled, “Disruptions to our information technology systems or cybersecurity breaches could negatively impact our business.”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Governance</w:t>
      </w:r>
    </w:p>
    <w:p>
      <w:pPr>
        <w:spacing w:after="0" w:line="13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Our Board of Directors considers cybersecurity risk as part of its risk oversight function and has delegated to the Audit Committee oversight of cybersecurity and other information technology risks. The Audit Committee is responsible for reviewing our technology security and data privacy controls with senior management. Members of our senior management team serve on a Materiality Assessment Committee (the "MAC"), which among other things, has experience addressing cybersecurity risks and leveraging third-party cybersecurity advisors to assist in monitoring, detecting, preventing and mitigating risks from cybersecurity threats. The MAC meets on a quarterly basis to review cybersecurity threats and incidents impacting the Company, with escalation to additional members of senior management and the Audit Committee in accordance with the IRP.</w:t>
      </w:r>
    </w:p>
    <w:p>
      <w:pPr>
        <w:spacing w:after="0" w:line="9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2.</w:t>
        <w:tab/>
        <w:t>PROPERTIES</w:t>
      </w:r>
    </w:p>
    <w:p>
      <w:pPr>
        <w:spacing w:after="0" w:line="18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We do not own any real estate or other properties materially important to our operations. We lease real estate property for remote office spaces and corporate office space, and substantially all of those leases are classified as operating leases. Our executive offices are located at 800 North Capitol St. NW, Suite 800, Washington, DC 20002, and our telephone number is (202) 688–0020. We believe that our office facilities will be suitable and adequate for our business as it is contemplated to be conducted.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3.</w:t>
        <w:tab/>
        <w:t>LEGAL PROCEEDINGS</w:t>
      </w:r>
    </w:p>
    <w:p>
      <w:pPr>
        <w:spacing w:after="0" w:line="18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As of the date of this Annual Report on Form 10-K, we are not a party to any material pending legal proceedings, nor are we aware of any civil proceeding or government authority contemplating any material legal proceeding, and to our knowledge, no such proceedings by or against the Company have been threatened. We anticipate that we and our subsidiaries may from time to time in the future become subject to claims and legal proceedings arising in the ordinary course of business. It is not feasible to predict the outcome of any such proceedings, and we cannot assure that their ultimate disposition will not have a materially adverse effect on our business, financial condition, cash flows or results of operations.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36" w:lineRule="exact"/>
        <w:rPr>
          <w:sz w:val="20"/>
          <w:szCs w:val="20"/>
          <w:color w:val="auto"/>
        </w:rPr>
      </w:pPr>
    </w:p>
    <w:p>
      <w:pPr>
        <w:ind w:right="1100"/>
        <w:spacing w:after="0" w:line="476" w:lineRule="auto"/>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 Market Information and Holders</w:t>
      </w:r>
    </w:p>
    <w:p>
      <w:pPr>
        <w:spacing w:after="0" w:line="261" w:lineRule="auto"/>
        <w:rPr>
          <w:sz w:val="20"/>
          <w:szCs w:val="20"/>
          <w:color w:val="auto"/>
        </w:rPr>
      </w:pPr>
      <w:r>
        <w:rPr>
          <w:rFonts w:ascii="Times New Roman" w:cs="Times New Roman" w:eastAsia="Times New Roman" w:hAnsi="Times New Roman"/>
          <w:sz w:val="14"/>
          <w:szCs w:val="14"/>
          <w:color w:val="auto"/>
        </w:rPr>
        <w:t>Our Common Stock is listed on the Nasdaq Global Market under the symbol “PPHC.” As of March 24, 2026, the Company had 28,928,777 shares of Common Stock outstanding held by approximately 125 record holders (the number of record holders does not include persons who held our Common Stock in nominee or "street name" accounts through brokers). In connection with our application for admission to listing of our Common Stock on Nasdaq, we completed a reverse stock split (the "Reverse Stock Split"), which became effective October 2, 2025, to reduce the number of shares of our Common Stock outstanding by a ratio of 5 to 1. Our Common Stock has been listed and admitted to trading on the AIM of the London Stock Exchange since December 16, 2021 under the symbol “PPHC.L.” We intend to maintain the admission for trading on AIM of our Common Stock.</w:t>
      </w:r>
    </w:p>
    <w:p>
      <w:pPr>
        <w:spacing w:after="0" w:line="101"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4"/>
          <w:szCs w:val="14"/>
          <w:color w:val="auto"/>
        </w:rPr>
        <w:t>As of December 31, 2025, 4,199,749 shares of Common Stock, representing 16.7% of our issued and outstanding Common Stock, were held directly or indirectly by our affiliates and are subject to certain transfer restrictions, including regarding the manner and volume of sales, under Rule 144 under the Securities Act (“Rule 144”). In addition, as of such date, 845,095 shares of our Common Stock, representing 3.4% of our issued and outstanding Common Stock, were otherwise restricted securities as defined under Rule 144 and may only be sold pursuant to registration under the Securities Act or pursuant to an exemption from the registration requirements of the Securities Act. 20,129,648 shares of our Common Stock, representing 80.0% of our issued and outstanding Common Stock, were freely transferable without registration under the Securities Act, however 4,865,096 shares (including 3,210,014 shares which would otherwise be freely transferable), representing 19.3% of our issued and outstanding Common Stock, were subject to restrictions on transfer under contractual vesting conditions.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Registration Statement</w:t>
      </w:r>
    </w:p>
    <w:p>
      <w:pPr>
        <w:spacing w:after="0" w:line="138"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We intend to file one or more registration statements on Form S-8 under the Securities Act to register all shares of our Common Stock reserved for future issuance under our Omnibus Incentive Plan. The registration statement will be effective immediately upon filing and will permit the resale of such shares by non-affiliates in the public market without restriction under the Securities Act and the sale by affiliates in the public market, subject to compliance with the resale provisions of Rule 144.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38"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We currently intend to pay out dividends at a payout ratio of approximately 30% of Adjusted Net Income. This policy is, however, subject to change. The declaration and payment of dividends by the Company is at the sole discretion of our board of directors, and there can be no assurance that any dividends will be paid in or for any given period.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“Item 12. Security Ownership of Certain Beneficial Owners and Management and Related Stockholder Matters.”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graph compares the cumulative total stockholder return on our Common Stock from our US IPO through March 16, 2026, with the cumulative total return on (i) the Nasdaq Composite,</w:t>
      </w:r>
    </w:p>
    <w:p>
      <w:pPr>
        <w:spacing w:after="0" w:line="23" w:lineRule="exact"/>
        <w:rPr>
          <w:sz w:val="20"/>
          <w:szCs w:val="20"/>
          <w:color w:val="auto"/>
        </w:rPr>
      </w:pPr>
    </w:p>
    <w:p>
      <w:pPr>
        <w:ind w:right="100" w:firstLine="5"/>
        <w:spacing w:after="0" w:line="266" w:lineRule="auto"/>
        <w:tabs>
          <w:tab w:leader="none" w:pos="20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Russell 2000 stock index, and (iii) a select peer group of U.S Professional Services / Advisory companies. This graph assumes that the investment in the Company’s Common Stock and each index was $100 on January 27, 2026 and that all dividends were reinvested. The historical information set forth below is not necessarily indicative of future performance.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peer group includes FTI Consulting (FCN), Huron Consulting Group (HURN), CRA International (CRAI), Exponent (EXPO) and ICF International (ICFI).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4130040" cy="256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130040" cy="256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January 27, 2026</w:t>
            </w:r>
          </w:p>
        </w:tc>
        <w:tc>
          <w:tcPr>
            <w:tcW w:w="12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February 04, 2026</w:t>
            </w:r>
          </w:p>
        </w:tc>
        <w:tc>
          <w:tcPr>
            <w:tcW w:w="12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February 12, 2026</w:t>
            </w:r>
          </w:p>
        </w:tc>
        <w:tc>
          <w:tcPr>
            <w:tcW w:w="12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February 23, 2026</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March 03, 2026</w:t>
            </w:r>
          </w:p>
        </w:tc>
        <w:tc>
          <w:tcPr>
            <w:tcW w:w="120" w:type="dxa"/>
            <w:vAlign w:val="bottom"/>
          </w:tcPr>
          <w:p>
            <w:pPr>
              <w:spacing w:after="0"/>
              <w:rPr>
                <w:sz w:val="14"/>
                <w:szCs w:val="14"/>
                <w:color w:val="auto"/>
              </w:rPr>
            </w:pPr>
          </w:p>
        </w:tc>
        <w:tc>
          <w:tcPr>
            <w:tcW w:w="108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March 11, 2026</w:t>
            </w:r>
          </w:p>
        </w:tc>
      </w:tr>
      <w:tr>
        <w:trPr>
          <w:trHeight w:val="163"/>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PPHC</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100.10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109.50</w:t>
            </w:r>
          </w:p>
        </w:tc>
      </w:tr>
      <w:tr>
        <w:trPr>
          <w:trHeight w:val="168"/>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Russell 2000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98.40</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98.10</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98.30</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97.80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95.40</w:t>
            </w:r>
          </w:p>
        </w:tc>
      </w:tr>
      <w:tr>
        <w:trPr>
          <w:trHeight w:val="172"/>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Nasdaq Composite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95.40</w:t>
            </w:r>
          </w:p>
        </w:tc>
      </w:tr>
      <w:tr>
        <w:trPr>
          <w:trHeight w:val="165"/>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Professional Services / Advisory Peers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95.40</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84.20</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84.50</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86.80</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w:t>
      </w:r>
    </w:p>
    <w:p>
      <w:pPr>
        <w:spacing w:after="0" w:line="138"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2025, we have issued and sold the following securities of the Company (each presented on an adjusted basis to give retrospective effect to the Reverse Stock Split), which were not registered under the Securities Act:</w:t>
      </w:r>
    </w:p>
    <w:p>
      <w:pPr>
        <w:spacing w:after="0" w:line="8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On April 1, 2025, we issued 593,228 shares of Common Stock to the sellers as initial consideration for the acquisition of the assets of TrailRunner International, LLC in reliance on the exemption provided in Rule 506(c) under the Securities Act.</w:t>
      </w:r>
    </w:p>
    <w:p>
      <w:pPr>
        <w:spacing w:after="0" w:line="82"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On April 14, 2025, we issued 2,000 shares to an employee upon the vesting of restricted stock units (“RSUs”) previously issued under the Omnibus Incentive Plan for services to the Company in reliance on the exemption provided in Rule 701 under the Securities Act.</w:t>
      </w:r>
    </w:p>
    <w:p>
      <w:pPr>
        <w:spacing w:after="0" w:line="82"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On June 18, 2025, we issued 65,647 shares of Common Stock to the sellers as earnout consideration pursuant to the asset purchase agreement relating to the acquisition of the assets of KP Public Affairs LLC in reliance on the exemption provided in Rule 506(c) under the Securities Act.</w:t>
      </w:r>
    </w:p>
    <w:p>
      <w:pPr>
        <w:spacing w:after="0" w:line="82"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4"/>
          <w:szCs w:val="14"/>
          <w:color w:val="auto"/>
        </w:rPr>
        <w:t>On June 18, 2025, we issued (i) 60,984 shares of Common Stock (including 9,334 shares issued upon the vesting of previously issued RSUs) and 114,280 RSUs to our executive officers; and (ii) 232,937 shares of Common Stock (including 89,000 shares issued upon the vesting of previously issued RSUs), 62,588 options and 384,252 RSUs to other Company employees, in each case pursuant to the Omnibus Incentive Plan for services to the Company and in reliance on the exemption provided in Rule 701 under the Securities Act.</w:t>
      </w:r>
    </w:p>
    <w:p>
      <w:pPr>
        <w:spacing w:after="0" w:line="93"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On July 22, 2025, we issued 47,201 shares of Common Stock (all of which was issued upon the vesting of previously issued RSUs) to our executive officers; and (ii) 138,271 shares of Common Stock (all of which was issued upon the vesting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of previously issued RSUs) to other Company employees, in each case pursuant to the Omnibus Incentive Plan for services to the Company and in reliance on the exemption provided in Rule 701 under the Securities Act.</w:t>
      </w:r>
    </w:p>
    <w:p>
      <w:pPr>
        <w:spacing w:after="0" w:line="8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On August 1, 2025, we issued 42,830 shares of Common Stock to the sellers as initial consideration for the acquisition of the assets of Pine Cove Capital LLC, in reliance on the exemption provided in Rule 506(c) under the Securities Act.</w:t>
      </w:r>
    </w:p>
    <w:p>
      <w:pPr>
        <w:spacing w:after="0" w:line="8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On October 28, 2025, we issued 43,337 shares of Common Stock (all of which were issued upon the vesting of previously issued RSUs) to certain of our executive officers and other Company employees, pursuant to the Omnibus Incentive Plan for services to the Company and in reliance on the exemption provided in Rule 701 under the Securities Act.</w:t>
      </w:r>
    </w:p>
    <w:p>
      <w:pPr>
        <w:spacing w:after="0" w:line="8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On January 1, 2026, we issued 6,579 shares of Common Stock to a seller as initial consideration for the acquisition of the assets of B. Shaw Communications, LLC, in reliance on the exemption provided in Rule 506(c) under the Securities Act.</w:t>
      </w:r>
    </w:p>
    <w:p>
      <w:pPr>
        <w:spacing w:after="0" w:line="114" w:lineRule="exact"/>
        <w:rPr>
          <w:sz w:val="20"/>
          <w:szCs w:val="20"/>
          <w:color w:val="auto"/>
        </w:rPr>
      </w:pPr>
    </w:p>
    <w:p>
      <w:pPr>
        <w:jc w:val="both"/>
        <w:ind w:right="260"/>
        <w:spacing w:after="0" w:line="287" w:lineRule="auto"/>
        <w:rPr>
          <w:sz w:val="20"/>
          <w:szCs w:val="20"/>
          <w:color w:val="auto"/>
        </w:rPr>
      </w:pPr>
      <w:r>
        <w:rPr>
          <w:rFonts w:ascii="Times New Roman" w:cs="Times New Roman" w:eastAsia="Times New Roman" w:hAnsi="Times New Roman"/>
          <w:sz w:val="14"/>
          <w:szCs w:val="14"/>
          <w:color w:val="auto"/>
        </w:rPr>
        <w:t>On March 5, 2026, we issued 10,000 shares of Common Stock to an employee under the Omnibus Incentive Plan for services to the Company in reliance on the exemption provided in Rule 701 under the Securities Act.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38"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gross proceeds to us from the sale of shares of our Common Stock in our initial public offering was $45.8 million. This is calculated based on the initial public offering price of $12.25 per share and includes the gross proceeds received by us from the underwriters’ exercise of their over-allotment option to purchase additional shares.</w:t>
      </w:r>
    </w:p>
    <w:p>
      <w:pPr>
        <w:spacing w:after="0" w:line="82"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4"/>
          <w:szCs w:val="14"/>
          <w:color w:val="auto"/>
        </w:rPr>
        <w:t>We received net proceeds from the IPO of approximately $36.1 million (including shares sold upon the underwriters' partial exercise of their over-allotment option), after deducting underwriting discounts of $3.0 million and offering expenses of $6.8 million. No payments for such expenses were made directly or indirectly to (i) any of our officers or directors or their associates, (ii) any persons owning 10% or more of any class of our equity securities, or (iii) any of our affiliates.</w:t>
      </w:r>
    </w:p>
    <w:p>
      <w:pPr>
        <w:spacing w:after="0" w:line="93"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We intend to use the proceeds to the Company from our initial public offering to fund working capital and for general corporate purposes, potentially including future acquisitions of new portfolio companies. We did not receive any proceeds from the sale of Common Stock by the selling shareholders. Refer to Note 19. Subsequent Events.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Repurchases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6.</w:t>
      </w:r>
      <w:r>
        <w:rPr>
          <w:sz w:val="20"/>
          <w:szCs w:val="20"/>
          <w:color w:val="auto"/>
        </w:rPr>
        <w:tab/>
      </w:r>
      <w:r>
        <w:rPr>
          <w:rFonts w:ascii="Times New Roman" w:cs="Times New Roman" w:eastAsia="Times New Roman" w:hAnsi="Times New Roman"/>
          <w:sz w:val="13"/>
          <w:szCs w:val="13"/>
          <w:b w:val="1"/>
          <w:bCs w:val="1"/>
          <w:color w:val="auto"/>
        </w:rPr>
        <w:t>RESERVED</w:t>
      </w:r>
    </w:p>
    <w:p>
      <w:pPr>
        <w:spacing w:after="0" w:line="13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7.</w:t>
        <w:tab/>
        <w:t>MANAGEMENT’S DISCUSSION AND ANALYSIS OF FINANCIAL CONDITION AND RESULTS OF OPERATIONS</w:t>
      </w:r>
    </w:p>
    <w:p>
      <w:pPr>
        <w:spacing w:after="0" w:line="13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i w:val="1"/>
          <w:iCs w:val="1"/>
          <w:color w:val="auto"/>
        </w:rPr>
        <w:t>The following, Management’s Discussion and Analysis of Financial Condition and Results of Operations (“MD&amp;A”), summarizes the significant factors affecting the operating results, financial condition and liquidity, and cash flows of the Company as of and for the years ended December 31, 2025, and 2024 . This MD&amp;A should be read in conjunction with our consolidated financial statements, the accompanying notes to the consolidated financial statements and the other financial information included in this Annual Report on Form 10-K. Except for historical information, the matters discussed in this MD&amp;A contain various forward-looking statements that involve risks and uncertainties and are based upon judgments concerning various factors beyond our control. Our actual results could differ materially from those anticipated in these forward-looking statements. All forward-looking statements speak only as of the date on which they are made. We undertake no obligation to update such statements to reflect events that occur or circumstances that exist after the date on which they are made, except as required by applicable law. Certain monetary amounts, percentages and other figures included in this MD&amp;A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Public Policy Holding Company, Inc. ("we," "us," "our," "PPHC," or the "Company") through our wholly-owned subsidiaries, operates a portfolio of firms that offer global strategic communications services, including government relations, corporate communications and public affairs. Engaged by over 1,400 clients, including companies, trade</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associations and non-governmental organizations, we are active in all major sectors of the economy, including healthcare and pharmaceuticals, financial services, energy, technology, telecoms and transportation. Our services help clients to enhance and defend their reputations, advance policy goals, manage regulatory risk and engage with federal and state-level policy makers, stakeholders, media and the public in multiple jurisdictions and with diverse and complementary capabilities.</w:t>
      </w:r>
    </w:p>
    <w:p>
      <w:pPr>
        <w:spacing w:after="0" w:line="9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Since our inception in 2014, we have acquired and integrated numerous businesses specializing in key facets of strategic communications, including government relations, public affairs, research, crisis management, investor relations and creative communications delivery. Under the PPHC holding company, we now operate as 12 member companies in the United States (“US” or "U.S.") and the United Kingdom (“UK”), with expanding reach into Europe and parts of Asia and the Middle East. These 12 member companies include Crossroads, Forbes Tate, Seven Letter, O’Neill, Alpine, KP, MultiState, Concordant, Lucas, Pagefield, TrailRunner, and Pine Cove.</w:t>
      </w:r>
    </w:p>
    <w:p>
      <w:pPr>
        <w:spacing w:after="0" w:line="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operate in large growing markets that we believe provide us significant opportunity for continued growth. We estimate our total addressable market (“TAM”) in 2024 was in excess of $20.0 billion, comprising $4.4 billion of disclosed federal lobbying expenditure, an estimated $2.2 billion of partially disclosed total US state-based lobbying expenditure, an estimated $5.6 billion global public affairs spend, and an estimated $8.4 billion global corporate communications spend. The latter, which covers corporate, crisis, and financial communications, became part of our offering with the 2025 acquisition of TrailRunner. We believe this segment may be larger than $8.4 billion, though it is difficult to quantify given that industry metrics often combine it with broader public relations categories—such as marketing communications—that PPHC does not provide.</w:t>
      </w:r>
    </w:p>
    <w:p>
      <w:pPr>
        <w:spacing w:after="0" w:line="10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We have built a scalable platform which also creates cross-selling and referral opportunities. We provide our companies with a scalable platform for growth, providing uniform and efficient financial infrastructure, legal services, human resources, compliance and administration at the parent company level. We also incentivize cross-company selling, talent referrals and effective conflict management remedies across our client portfolio.</w:t>
      </w:r>
    </w:p>
    <w:p>
      <w:pPr>
        <w:spacing w:after="0" w:line="9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We have grown our geographical reach and practice capabilities to provide clients a full range of services through multiple member companies. Our evolution to date is the result of a careful and methodical strategy to build a unique service platform to simplify and more effectively address global client challenges and opportunities in an increasingly fragmented and accelerated policy and communications landscape. This growth strategy is predicated on adding both geographic reach for clients and a complete set of asset capabilities to bring the client the ability to synthesize and simplify the best in class practices to address policy and reputational issues. Leveraging deep policy and issue expertise derived from our original core government relations member companies, first established in 2014, we now work with clients to provide the full-spectrum of strategic communications, including government affairs, public affairs, issues and crisis communications, financial communications and corporate and institutional reputation management needs.</w:t>
      </w:r>
    </w:p>
    <w:p>
      <w:pPr>
        <w:spacing w:after="0" w:line="1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Building on the globalization of public policy and reputation challenges, our founders and many of our senior managers operate in Washington, DC, and have past careers and/or close professional ties to the US executive branch, Congress and regulatory authorities over a period of more than 30 years. Other leaders operate principally at the state or regional level, drawing on decades of experience, deep community ties and relationships with key stakeholders in key markets, including California, Texas and New York. With the acquisition of Pagefield in June 2024 and TrailRunner in April 2025, we have expanded our operations to London, Shanghai, Abu Dhabi and Dubai, giving us truly global reach. We continue to look for opportunities to broaden the geographic scope of our services both domestically and abroad.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Adding complementary practice capabilities to augment geographic coverage, our business comprises three reporting segments—Government Relations Consulting, Corporate Communications &amp;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Public Affairs Consulting and Compliance and Insights Services—corresponding to the different types of strategic communications services our member companies provide to our clients:</w:t>
      </w:r>
    </w:p>
    <w:p>
      <w:pPr>
        <w:spacing w:after="0" w:line="120" w:lineRule="exact"/>
        <w:rPr>
          <w:sz w:val="20"/>
          <w:szCs w:val="20"/>
          <w:color w:val="auto"/>
        </w:rPr>
      </w:pPr>
    </w:p>
    <w:p>
      <w:pPr>
        <w:ind w:left="520" w:right="820" w:hanging="6"/>
        <w:spacing w:after="0" w:line="290" w:lineRule="auto"/>
        <w:tabs>
          <w:tab w:leader="none" w:pos="771"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Government Relations Consulting </w:t>
      </w:r>
      <w:r>
        <w:rPr>
          <w:rFonts w:ascii="Times New Roman" w:cs="Times New Roman" w:eastAsia="Times New Roman" w:hAnsi="Times New Roman"/>
          <w:sz w:val="14"/>
          <w:szCs w:val="14"/>
          <w:color w:val="auto"/>
        </w:rPr>
        <w:t>services include advocacy, strategic guidance, political intelligence and issue monitoring at the United States federal and state levels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internationally through our offices in London;</w:t>
      </w:r>
    </w:p>
    <w:p>
      <w:pPr>
        <w:spacing w:after="0" w:line="77" w:lineRule="exact"/>
        <w:rPr>
          <w:rFonts w:ascii="Times New Roman" w:cs="Times New Roman" w:eastAsia="Times New Roman" w:hAnsi="Times New Roman"/>
          <w:sz w:val="14"/>
          <w:szCs w:val="14"/>
          <w:color w:val="auto"/>
        </w:rPr>
      </w:pPr>
    </w:p>
    <w:p>
      <w:pPr>
        <w:ind w:left="520" w:right="180" w:hanging="6"/>
        <w:spacing w:after="0" w:line="290" w:lineRule="auto"/>
        <w:tabs>
          <w:tab w:leader="none" w:pos="771"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Corporate Communications &amp; Public Affairs Consulting </w:t>
      </w:r>
      <w:r>
        <w:rPr>
          <w:rFonts w:ascii="Times New Roman" w:cs="Times New Roman" w:eastAsia="Times New Roman" w:hAnsi="Times New Roman"/>
          <w:sz w:val="14"/>
          <w:szCs w:val="14"/>
          <w:color w:val="auto"/>
        </w:rPr>
        <w:t>services include crisis communications, community relations, social and digital media, public opinion research, branding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messaging, relationship marketing and litigation support; and</w:t>
      </w:r>
    </w:p>
    <w:p>
      <w:pPr>
        <w:spacing w:after="0" w:line="7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Compliance and Insights Services </w:t>
      </w:r>
      <w:r>
        <w:rPr>
          <w:rFonts w:ascii="Times New Roman" w:cs="Times New Roman" w:eastAsia="Times New Roman" w:hAnsi="Times New Roman"/>
          <w:sz w:val="14"/>
          <w:szCs w:val="14"/>
          <w:color w:val="auto"/>
        </w:rPr>
        <w:t>include lobbying compliance services and legislative tracking.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As of December 31, 2025, we had approximately 1,400 active client relationships, which were highly diversified with the top 10 PPHC clients representing 9.2% of revenue in 2025 versus 8.7% at the end of the year ended December 31, 2024. We have no single client representing more than 2.1% of overall revenues for the year ended December 31, 2025. Our client base includes corporate, trade association and non-profit client organizations across a range of industries. Our client portfolio includes clients in the healthcare and pharmaceuticals, defense and aerospace, agriculture, financial services, energy, technology, telecom and transportation sectors. We also have a track record of high client retention, with an average annual renewal rate of approximately 77.4% and an average revenue retention rate of 85.5% between 2020 to 2025.</w:t>
      </w:r>
    </w:p>
    <w:p>
      <w:pPr>
        <w:spacing w:after="0" w:line="101" w:lineRule="exact"/>
        <w:rPr>
          <w:sz w:val="20"/>
          <w:szCs w:val="20"/>
          <w:color w:val="auto"/>
        </w:rPr>
      </w:pPr>
    </w:p>
    <w:p>
      <w:pPr>
        <w:ind w:right="2140"/>
        <w:spacing w:after="0" w:line="442" w:lineRule="auto"/>
        <w:rPr>
          <w:sz w:val="20"/>
          <w:szCs w:val="20"/>
          <w:color w:val="auto"/>
        </w:rPr>
      </w:pPr>
      <w:r>
        <w:rPr>
          <w:rFonts w:ascii="Times New Roman" w:cs="Times New Roman" w:eastAsia="Times New Roman" w:hAnsi="Times New Roman"/>
          <w:sz w:val="14"/>
          <w:szCs w:val="14"/>
          <w:color w:val="auto"/>
        </w:rPr>
        <w:t xml:space="preserve">From January 1, 2018 to December 31, 2025, we achieved revenue growth of 27.6% CAGR, with organic revenue growth of 15.0% CAGR over the same period. </w:t>
      </w:r>
      <w:r>
        <w:rPr>
          <w:rFonts w:ascii="Times New Roman" w:cs="Times New Roman" w:eastAsia="Times New Roman" w:hAnsi="Times New Roman"/>
          <w:sz w:val="14"/>
          <w:szCs w:val="14"/>
          <w:b w:val="1"/>
          <w:bCs w:val="1"/>
          <w:color w:val="auto"/>
        </w:rPr>
        <w:t>Financial Results</w:t>
      </w:r>
    </w:p>
    <w:p>
      <w:pPr>
        <w:spacing w:after="0" w:line="1" w:lineRule="exact"/>
        <w:rPr>
          <w:sz w:val="20"/>
          <w:szCs w:val="20"/>
          <w:color w:val="auto"/>
        </w:rPr>
      </w:pPr>
    </w:p>
    <w:p>
      <w:pPr>
        <w:ind w:left="520" w:right="14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year ended December 31, 2025, Revenue increased by 24.7% to $186.5 million, with organic growth contributing 6.2% and the balance driven by four acquisitions made in 2024 and 2025.</w:t>
      </w:r>
    </w:p>
    <w:p>
      <w:pPr>
        <w:spacing w:after="0" w:line="81" w:lineRule="exact"/>
        <w:rPr>
          <w:rFonts w:ascii="Times New Roman" w:cs="Times New Roman" w:eastAsia="Times New Roman" w:hAnsi="Times New Roman"/>
          <w:sz w:val="14"/>
          <w:szCs w:val="14"/>
          <w:color w:val="auto"/>
        </w:rPr>
      </w:pPr>
    </w:p>
    <w:p>
      <w:pPr>
        <w:ind w:left="520" w:right="40" w:hanging="260"/>
        <w:spacing w:after="0" w:line="264"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GAAP Net losses increased from $(24.0) million in 2024 to $(39.0) million in 2025, the losses primarily being the result of a $29.6 million share based accounting charge stemming from the UK IPO and the treatment of acquisitions in our accounts. The increase in loss in 2025 was driven by a $9.7 million increase in post-combination compensation charges primarily stemming from the Lucas, Pagefield, TrailRunner and Pine Cove acquisitions, a $9.1 million impairment charge related to Pagefield's intangibles and goodwill, and an increase of $3.2 million in the change in fair value of contingent consideration.</w:t>
      </w:r>
    </w:p>
    <w:p>
      <w:pPr>
        <w:spacing w:after="0" w:line="9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was at record level of $45.4 million, up 17.7% as compared to prior year, achieved at a 24.3% margin.</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Net Income of $36.6 million was up 32.1% as compared to prior year that includes an increase in finance costs offset by a more favorable effective tax rate.</w:t>
      </w:r>
    </w:p>
    <w:p>
      <w:pPr>
        <w:spacing w:after="0" w:line="136" w:lineRule="exact"/>
        <w:rPr>
          <w:rFonts w:ascii="Times New Roman" w:cs="Times New Roman" w:eastAsia="Times New Roman" w:hAnsi="Times New Roman"/>
          <w:sz w:val="14"/>
          <w:szCs w:val="14"/>
          <w:color w:val="auto"/>
        </w:rPr>
      </w:pPr>
    </w:p>
    <w:p>
      <w:pPr>
        <w:ind w:left="500" w:hanging="241"/>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EPS fully diluted of $1.39 was up $0.27 or 24.7%, with fully diluted share count increasing by 5.9%.</w:t>
      </w:r>
    </w:p>
    <w:p>
      <w:pPr>
        <w:spacing w:after="0" w:line="136" w:lineRule="exact"/>
        <w:rPr>
          <w:rFonts w:ascii="Times New Roman" w:cs="Times New Roman" w:eastAsia="Times New Roman" w:hAnsi="Times New Roman"/>
          <w:sz w:val="14"/>
          <w:szCs w:val="14"/>
          <w:color w:val="auto"/>
        </w:rPr>
      </w:pPr>
    </w:p>
    <w:p>
      <w:pPr>
        <w:ind w:left="520" w:right="2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PPHC's cash generation remains robust with net cash flows provided by operating activities increasing by $8.4 million to $24.8 million while Adjusted Free Cash Flow increased to $36.9 million as compared to $22.2 million in 2024, reflecting strong cash conversion helped by diligent working capital management.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4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2120" w:type="dxa"/>
            <w:vAlign w:val="bottom"/>
            <w:tcBorders>
              <w:top w:val="single" w:sz="8" w:color="auto"/>
              <w:bottom w:val="single" w:sz="8" w:color="auto"/>
            </w:tcBorders>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108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 Change</w:t>
            </w:r>
          </w:p>
        </w:tc>
        <w:tc>
          <w:tcPr>
            <w:tcW w:w="108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 Change</w:t>
            </w:r>
          </w:p>
        </w:tc>
        <w:tc>
          <w:tcPr>
            <w:tcW w:w="0" w:type="dxa"/>
            <w:vAlign w:val="bottom"/>
          </w:tcPr>
          <w:p>
            <w:pPr>
              <w:spacing w:after="0"/>
              <w:rPr>
                <w:sz w:val="1"/>
                <w:szCs w:val="1"/>
                <w:color w:val="auto"/>
              </w:rPr>
            </w:pPr>
          </w:p>
        </w:tc>
      </w:tr>
      <w:tr>
        <w:trPr>
          <w:trHeight w:val="183"/>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186.5</w:t>
            </w:r>
          </w:p>
        </w:tc>
        <w:tc>
          <w:tcPr>
            <w:tcW w:w="4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149.6</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37.0</w:t>
            </w: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24.7 %</w:t>
            </w:r>
          </w:p>
        </w:tc>
        <w:tc>
          <w:tcPr>
            <w:tcW w:w="0" w:type="dxa"/>
            <w:vAlign w:val="bottom"/>
          </w:tcPr>
          <w:p>
            <w:pPr>
              <w:spacing w:after="0"/>
              <w:rPr>
                <w:sz w:val="1"/>
                <w:szCs w:val="1"/>
                <w:color w:val="auto"/>
              </w:rPr>
            </w:pPr>
          </w:p>
        </w:tc>
      </w:tr>
      <w:tr>
        <w:trPr>
          <w:trHeight w:val="176"/>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24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(39.0)</w:t>
            </w:r>
          </w:p>
        </w:tc>
        <w:tc>
          <w:tcPr>
            <w:tcW w:w="440" w:type="dxa"/>
            <w:vAlign w:val="bottom"/>
          </w:tcPr>
          <w:p>
            <w:pPr>
              <w:spacing w:after="0"/>
              <w:rPr>
                <w:sz w:val="15"/>
                <w:szCs w:val="15"/>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(24.0)</w:t>
            </w:r>
          </w:p>
        </w:tc>
        <w:tc>
          <w:tcPr>
            <w:tcW w:w="100" w:type="dxa"/>
            <w:vAlign w:val="bottom"/>
          </w:tcPr>
          <w:p>
            <w:pPr>
              <w:spacing w:after="0"/>
              <w:rPr>
                <w:sz w:val="15"/>
                <w:szCs w:val="15"/>
                <w:color w:val="auto"/>
              </w:rPr>
            </w:pPr>
          </w:p>
        </w:tc>
        <w:tc>
          <w:tcPr>
            <w:tcW w:w="200" w:type="dxa"/>
            <w:vAlign w:val="bottom"/>
            <w:vMerge w:val="restart"/>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vMerge w:val="restart"/>
          </w:tcPr>
          <w:p>
            <w:pPr>
              <w:jc w:val="right"/>
              <w:ind w:right="116"/>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62.5 %</w:t>
            </w:r>
          </w:p>
        </w:tc>
        <w:tc>
          <w:tcPr>
            <w:tcW w:w="0" w:type="dxa"/>
            <w:vAlign w:val="bottom"/>
          </w:tcPr>
          <w:p>
            <w:pPr>
              <w:spacing w:after="0"/>
              <w:rPr>
                <w:sz w:val="1"/>
                <w:szCs w:val="1"/>
                <w:color w:val="auto"/>
              </w:rPr>
            </w:pPr>
          </w:p>
        </w:tc>
      </w:tr>
      <w:tr>
        <w:trPr>
          <w:trHeight w:val="140"/>
        </w:trPr>
        <w:tc>
          <w:tcPr>
            <w:tcW w:w="64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EBITDA</w:t>
            </w:r>
          </w:p>
        </w:tc>
        <w:tc>
          <w:tcPr>
            <w:tcW w:w="24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45.4</w:t>
            </w: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38.6</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17.7 %</w:t>
            </w:r>
          </w:p>
        </w:tc>
        <w:tc>
          <w:tcPr>
            <w:tcW w:w="0" w:type="dxa"/>
            <w:vAlign w:val="bottom"/>
          </w:tcPr>
          <w:p>
            <w:pPr>
              <w:spacing w:after="0"/>
              <w:rPr>
                <w:sz w:val="1"/>
                <w:szCs w:val="1"/>
                <w:color w:val="auto"/>
              </w:rPr>
            </w:pPr>
          </w:p>
        </w:tc>
      </w:tr>
      <w:tr>
        <w:trPr>
          <w:trHeight w:val="142"/>
        </w:trPr>
        <w:tc>
          <w:tcPr>
            <w:tcW w:w="6400" w:type="dxa"/>
            <w:vAlign w:val="bottom"/>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EBITDA margin</w:t>
            </w:r>
          </w:p>
        </w:tc>
        <w:tc>
          <w:tcPr>
            <w:tcW w:w="240" w:type="dxa"/>
            <w:vAlign w:val="bottom"/>
          </w:tcPr>
          <w:p>
            <w:pPr>
              <w:spacing w:after="0"/>
              <w:rPr>
                <w:sz w:val="15"/>
                <w:szCs w:val="15"/>
                <w:color w:val="auto"/>
              </w:rPr>
            </w:pPr>
          </w:p>
        </w:tc>
        <w:tc>
          <w:tcPr>
            <w:tcW w:w="82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24.3%</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i w:val="1"/>
                <w:iCs w:val="1"/>
                <w:color w:val="auto"/>
              </w:rPr>
              <w:t>(1.5)pts</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net income</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36.6</w:t>
            </w: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27.7</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32.1 %</w:t>
            </w:r>
          </w:p>
        </w:tc>
        <w:tc>
          <w:tcPr>
            <w:tcW w:w="0" w:type="dxa"/>
            <w:vAlign w:val="bottom"/>
          </w:tcPr>
          <w:p>
            <w:pPr>
              <w:spacing w:after="0"/>
              <w:rPr>
                <w:sz w:val="1"/>
                <w:szCs w:val="1"/>
                <w:color w:val="auto"/>
              </w:rPr>
            </w:pPr>
          </w:p>
        </w:tc>
      </w:tr>
      <w:tr>
        <w:trPr>
          <w:trHeight w:val="142"/>
        </w:trPr>
        <w:tc>
          <w:tcPr>
            <w:tcW w:w="6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Basic and diluted loss per share</w:t>
            </w:r>
          </w:p>
        </w:tc>
        <w:tc>
          <w:tcPr>
            <w:tcW w:w="24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(2.37)</w:t>
            </w:r>
          </w:p>
        </w:tc>
        <w:tc>
          <w:tcPr>
            <w:tcW w:w="440" w:type="dxa"/>
            <w:vAlign w:val="bottom"/>
          </w:tcPr>
          <w:p>
            <w:pPr>
              <w:spacing w:after="0"/>
              <w:rPr>
                <w:sz w:val="15"/>
                <w:szCs w:val="15"/>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(2.34)</w:t>
            </w:r>
          </w:p>
        </w:tc>
        <w:tc>
          <w:tcPr>
            <w:tcW w:w="100" w:type="dxa"/>
            <w:vAlign w:val="bottom"/>
          </w:tcPr>
          <w:p>
            <w:pPr>
              <w:spacing w:after="0"/>
              <w:rPr>
                <w:sz w:val="15"/>
                <w:szCs w:val="15"/>
                <w:color w:val="auto"/>
              </w:rPr>
            </w:pPr>
          </w:p>
        </w:tc>
        <w:tc>
          <w:tcPr>
            <w:tcW w:w="200" w:type="dxa"/>
            <w:vAlign w:val="bottom"/>
            <w:vMerge w:val="restart"/>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vMerge w:val="restart"/>
          </w:tcPr>
          <w:p>
            <w:pPr>
              <w:jc w:val="right"/>
              <w:ind w:right="116"/>
              <w:spacing w:after="0"/>
              <w:rPr>
                <w:sz w:val="20"/>
                <w:szCs w:val="20"/>
                <w:color w:val="auto"/>
              </w:rPr>
            </w:pPr>
            <w:r>
              <w:rPr>
                <w:rFonts w:ascii="Times New Roman" w:cs="Times New Roman" w:eastAsia="Times New Roman" w:hAnsi="Times New Roman"/>
                <w:sz w:val="13"/>
                <w:szCs w:val="13"/>
                <w:color w:val="auto"/>
              </w:rPr>
              <w:t>(0.03)</w:t>
            </w:r>
          </w:p>
        </w:tc>
        <w:tc>
          <w:tcPr>
            <w:tcW w:w="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40"/>
        </w:trPr>
        <w:tc>
          <w:tcPr>
            <w:tcW w:w="64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EPS fully diluted</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1.39</w:t>
            </w: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0.27</w:t>
            </w:r>
          </w:p>
        </w:tc>
        <w:tc>
          <w:tcPr>
            <w:tcW w:w="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24.7 %</w:t>
            </w:r>
          </w:p>
        </w:tc>
        <w:tc>
          <w:tcPr>
            <w:tcW w:w="0" w:type="dxa"/>
            <w:vAlign w:val="bottom"/>
          </w:tcPr>
          <w:p>
            <w:pPr>
              <w:spacing w:after="0"/>
              <w:rPr>
                <w:sz w:val="1"/>
                <w:szCs w:val="1"/>
                <w:color w:val="auto"/>
              </w:rPr>
            </w:pPr>
          </w:p>
        </w:tc>
      </w:tr>
      <w:tr>
        <w:trPr>
          <w:trHeight w:val="142"/>
        </w:trPr>
        <w:tc>
          <w:tcPr>
            <w:tcW w:w="6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Dividend paid, per share</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0.344</w:t>
            </w:r>
          </w:p>
        </w:tc>
        <w:tc>
          <w:tcPr>
            <w:tcW w:w="4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0.702</w:t>
            </w:r>
          </w:p>
        </w:tc>
        <w:tc>
          <w:tcPr>
            <w:tcW w:w="100" w:type="dxa"/>
            <w:vAlign w:val="bottom"/>
          </w:tcPr>
          <w:p>
            <w:pPr>
              <w:spacing w:after="0"/>
              <w:rPr>
                <w:sz w:val="15"/>
                <w:szCs w:val="15"/>
                <w:color w:val="auto"/>
              </w:rPr>
            </w:pPr>
          </w:p>
        </w:tc>
        <w:tc>
          <w:tcPr>
            <w:tcW w:w="200" w:type="dxa"/>
            <w:vAlign w:val="bottom"/>
            <w:vMerge w:val="restart"/>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vMerge w:val="restart"/>
          </w:tcPr>
          <w:p>
            <w:pPr>
              <w:jc w:val="right"/>
              <w:ind w:right="116"/>
              <w:spacing w:after="0"/>
              <w:rPr>
                <w:sz w:val="20"/>
                <w:szCs w:val="20"/>
                <w:color w:val="auto"/>
              </w:rPr>
            </w:pPr>
            <w:r>
              <w:rPr>
                <w:rFonts w:ascii="Times New Roman" w:cs="Times New Roman" w:eastAsia="Times New Roman" w:hAnsi="Times New Roman"/>
                <w:sz w:val="13"/>
                <w:szCs w:val="13"/>
                <w:color w:val="auto"/>
              </w:rPr>
              <w:t>(0.358)</w:t>
            </w:r>
          </w:p>
        </w:tc>
        <w:tc>
          <w:tcPr>
            <w:tcW w:w="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0" w:type="dxa"/>
            <w:vAlign w:val="bottom"/>
          </w:tcPr>
          <w:p>
            <w:pPr>
              <w:spacing w:after="0"/>
              <w:rPr>
                <w:sz w:val="1"/>
                <w:szCs w:val="1"/>
                <w:color w:val="auto"/>
              </w:rPr>
            </w:pPr>
          </w:p>
        </w:tc>
      </w:tr>
      <w:tr>
        <w:trPr>
          <w:trHeight w:val="140"/>
        </w:trPr>
        <w:tc>
          <w:tcPr>
            <w:tcW w:w="6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end of period</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20.4</w:t>
            </w:r>
          </w:p>
        </w:tc>
        <w:tc>
          <w:tcPr>
            <w:tcW w:w="44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40.6 %</w:t>
            </w:r>
          </w:p>
        </w:tc>
        <w:tc>
          <w:tcPr>
            <w:tcW w:w="0" w:type="dxa"/>
            <w:vAlign w:val="bottom"/>
          </w:tcPr>
          <w:p>
            <w:pPr>
              <w:spacing w:after="0"/>
              <w:rPr>
                <w:sz w:val="1"/>
                <w:szCs w:val="1"/>
                <w:color w:val="auto"/>
              </w:rPr>
            </w:pPr>
          </w:p>
        </w:tc>
      </w:tr>
      <w:tr>
        <w:trPr>
          <w:trHeight w:val="142"/>
        </w:trPr>
        <w:tc>
          <w:tcPr>
            <w:tcW w:w="6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debt at period-end</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(26.6)</w:t>
            </w:r>
          </w:p>
        </w:tc>
        <w:tc>
          <w:tcPr>
            <w:tcW w:w="440" w:type="dxa"/>
            <w:vAlign w:val="bottom"/>
          </w:tcPr>
          <w:p>
            <w:pPr>
              <w:spacing w:after="0"/>
              <w:rPr>
                <w:sz w:val="15"/>
                <w:szCs w:val="15"/>
                <w:color w:val="auto"/>
              </w:rPr>
            </w:pPr>
          </w:p>
        </w:tc>
        <w:tc>
          <w:tcPr>
            <w:tcW w:w="18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tcPr>
          <w:p>
            <w:pPr>
              <w:spacing w:after="0"/>
              <w:rPr>
                <w:sz w:val="15"/>
                <w:szCs w:val="15"/>
                <w:color w:val="auto"/>
              </w:rPr>
            </w:pPr>
          </w:p>
        </w:tc>
        <w:tc>
          <w:tcPr>
            <w:tcW w:w="200" w:type="dxa"/>
            <w:vAlign w:val="bottom"/>
            <w:vMerge w:val="restart"/>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vMerge w:val="restart"/>
          </w:tcPr>
          <w:p>
            <w:pPr>
              <w:jc w:val="right"/>
              <w:ind w:right="116"/>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51.6 %</w:t>
            </w:r>
          </w:p>
        </w:tc>
        <w:tc>
          <w:tcPr>
            <w:tcW w:w="0" w:type="dxa"/>
            <w:vAlign w:val="bottom"/>
          </w:tcPr>
          <w:p>
            <w:pPr>
              <w:spacing w:after="0"/>
              <w:rPr>
                <w:sz w:val="1"/>
                <w:szCs w:val="1"/>
                <w:color w:val="auto"/>
              </w:rPr>
            </w:pPr>
          </w:p>
        </w:tc>
      </w:tr>
      <w:tr>
        <w:trPr>
          <w:trHeight w:val="138"/>
        </w:trPr>
        <w:tc>
          <w:tcPr>
            <w:tcW w:w="6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hanging="115"/>
        <w:spacing w:after="0"/>
        <w:tabs>
          <w:tab w:leader="none" w:pos="120" w:val="left"/>
        </w:tabs>
        <w:numPr>
          <w:ilvl w:val="0"/>
          <w:numId w:val="1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Refer to the Non-GAAP Financial Measures section below for our definition of the non-GAAP measures.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Item 8. Financial Statements and Supplementary Data, Note 19 - Subsequent Events of this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the years ended December 31, 2025 and December 31,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Results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Amounts presented in the tables below are in millions, except percentages, share and per share data and unless otherwise noted.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presents the detailed components of our income statement: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Statements</w:t>
            </w:r>
          </w:p>
        </w:tc>
        <w:tc>
          <w:tcPr>
            <w:tcW w:w="8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460" w:type="dxa"/>
            <w:vAlign w:val="bottom"/>
            <w:tcBorders>
              <w:top w:val="single" w:sz="8" w:color="auto"/>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Twelve months ended December 31,</w:t>
            </w:r>
          </w:p>
        </w:tc>
        <w:tc>
          <w:tcPr>
            <w:tcW w:w="1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r>
      <w:tr>
        <w:trPr>
          <w:trHeight w:val="160"/>
        </w:trPr>
        <w:tc>
          <w:tcPr>
            <w:tcW w:w="6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 Variance</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 Variance</w:t>
            </w:r>
          </w:p>
        </w:tc>
      </w:tr>
      <w:tr>
        <w:trPr>
          <w:trHeight w:val="16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8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186.5</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149.6</w:t>
            </w: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24.7 %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37.0</w:t>
            </w:r>
          </w:p>
        </w:tc>
      </w:tr>
      <w:tr>
        <w:trPr>
          <w:trHeight w:val="169"/>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Staff cost - direct</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 based accounting charge - direct</w:t>
            </w: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7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 term incentive program charges - direct</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Post-combination compensation - direct</w:t>
            </w: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83.4</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17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Bonus - direct</w:t>
            </w: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59"/>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Salaries and other personnel costs</w:t>
            </w:r>
          </w:p>
        </w:tc>
        <w:tc>
          <w:tcPr>
            <w:tcW w:w="8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160.8</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126.6</w:t>
            </w:r>
          </w:p>
        </w:tc>
        <w:tc>
          <w:tcPr>
            <w:tcW w:w="10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27.0 %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34.2</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expense – technology</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shd w:val="clear" w:color="auto" w:fill="CCEEFF"/>
          </w:tcPr>
          <w:p>
            <w:pPr>
              <w:spacing w:after="0"/>
              <w:rPr>
                <w:sz w:val="14"/>
                <w:szCs w:val="14"/>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Office costs</w:t>
            </w: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Office and other direct costs</w:t>
            </w: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w:t>
            </w:r>
          </w:p>
        </w:tc>
        <w:tc>
          <w:tcPr>
            <w:tcW w:w="100" w:type="dxa"/>
            <w:vAlign w:val="bottom"/>
            <w:shd w:val="clear" w:color="auto" w:fill="CCEEFF"/>
          </w:tcPr>
          <w:p>
            <w:pPr>
              <w:spacing w:after="0"/>
              <w:rPr>
                <w:sz w:val="14"/>
                <w:szCs w:val="14"/>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25.5 %</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w:t>
            </w:r>
          </w:p>
        </w:tc>
      </w:tr>
      <w:tr>
        <w:trPr>
          <w:trHeight w:val="159"/>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Cost of services</w:t>
            </w:r>
          </w:p>
        </w:tc>
        <w:tc>
          <w:tcPr>
            <w:tcW w:w="8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167.9</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132.3</w:t>
            </w:r>
          </w:p>
        </w:tc>
        <w:tc>
          <w:tcPr>
            <w:tcW w:w="10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26.9 %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35.6</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Staff cost - indirect</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 based accounting charge - indirect</w:t>
            </w: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(42.7)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 term incentive program charges - indirect</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Non-staff costs</w:t>
            </w: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7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Bonus - indirect</w:t>
            </w: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59"/>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Salaries, general and administrative</w:t>
            </w: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31.8</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26.8</w:t>
            </w: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18.5 %</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5.0</w:t>
            </w:r>
          </w:p>
        </w:tc>
      </w:tr>
      <w:tr>
        <w:trPr>
          <w:trHeight w:val="16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Mergers and acquisitions expense</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0.8</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w:t>
            </w: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(65.6)%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w:t>
            </w: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7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w:t>
            </w: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59"/>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Depreciation and amortization expense</w:t>
            </w:r>
          </w:p>
        </w:tc>
        <w:tc>
          <w:tcPr>
            <w:tcW w:w="8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5.7</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w:t>
            </w:r>
          </w:p>
        </w:tc>
        <w:tc>
          <w:tcPr>
            <w:tcW w:w="10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33.7 %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Loss on impairment of intangible assets</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w:t>
            </w:r>
          </w:p>
        </w:tc>
      </w:tr>
      <w:tr>
        <w:trPr>
          <w:trHeight w:val="169"/>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Loss on impairment of goodwill</w:t>
            </w: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6.2</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6.2</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fair value of contingent consideration</w:t>
            </w: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w:t>
            </w:r>
          </w:p>
        </w:tc>
        <w:tc>
          <w:tcPr>
            <w:tcW w:w="100" w:type="dxa"/>
            <w:vAlign w:val="bottom"/>
            <w:shd w:val="clear" w:color="auto" w:fill="CCEEFF"/>
          </w:tcPr>
          <w:p>
            <w:pPr>
              <w:spacing w:after="0"/>
              <w:rPr>
                <w:sz w:val="14"/>
                <w:szCs w:val="14"/>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169.5 %</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w:t>
            </w:r>
          </w:p>
        </w:tc>
      </w:tr>
      <w:tr>
        <w:trPr>
          <w:trHeight w:val="159"/>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220.5</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167.7</w:t>
            </w: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31.4 %</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52.7</w:t>
            </w:r>
          </w:p>
        </w:tc>
      </w:tr>
      <w:tr>
        <w:trPr>
          <w:trHeight w:val="16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Loss from operations</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(33.9)</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(18.2)</w:t>
            </w: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86.8 %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(15.8)</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Gain on bargain purchase</w:t>
            </w: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(17.1)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r>
      <w:tr>
        <w:trPr>
          <w:trHeight w:val="17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net</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(54.2)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7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9"/>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before income taxes</w:t>
            </w:r>
          </w:p>
        </w:tc>
        <w:tc>
          <w:tcPr>
            <w:tcW w:w="8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(34.6)</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(17.4)</w:t>
            </w:r>
          </w:p>
        </w:tc>
        <w:tc>
          <w:tcPr>
            <w:tcW w:w="10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98.8 %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(17.2)</w:t>
            </w:r>
          </w:p>
        </w:tc>
      </w:tr>
      <w:tr>
        <w:trPr>
          <w:trHeight w:val="16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14"/>
                <w:szCs w:val="14"/>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 %</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63"/>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8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(39.0)</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(24.0)</w:t>
            </w:r>
          </w:p>
        </w:tc>
        <w:tc>
          <w:tcPr>
            <w:tcW w:w="100" w:type="dxa"/>
            <w:vAlign w:val="bottom"/>
          </w:tcPr>
          <w:p>
            <w:pPr>
              <w:spacing w:after="0"/>
              <w:rPr>
                <w:sz w:val="14"/>
                <w:szCs w:val="1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62.8 %</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(15.0)</w:t>
            </w:r>
          </w:p>
        </w:tc>
      </w:tr>
      <w:tr>
        <w:trPr>
          <w:trHeight w:val="20"/>
        </w:trPr>
        <w:tc>
          <w:tcPr>
            <w:tcW w:w="6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13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We generate substantially all of our revenue by providing consulting services related to Government Relations, Corporate Communications and Public Affairs Consulting and Compliance and Insights Services, primarily through fixed-fee arrangements whereby the client pays a fixed monthly retainer or subscription amount in exchange for a predetermined set of professional services. We recognize retainer revenue over time by measuring the progress toward complete satisfaction of the performance obligation. We also generate a smaller portion of our revenue from project-specific revenues which was generally between 5% and 10% of total revenue in the years ended December 31, 2025 and 2024.</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fluctuations in revenue by reportable segment for the years ended December 31, 2025 and 2024 were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67"/>
        </w:trPr>
        <w:tc>
          <w:tcPr>
            <w:tcW w:w="3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49"/>
        </w:trPr>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Revenue from</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Organic Revenue</w:t>
            </w:r>
          </w:p>
        </w:tc>
        <w:tc>
          <w:tcPr>
            <w:tcW w:w="1300" w:type="dxa"/>
            <w:vAlign w:val="bottom"/>
          </w:tcPr>
          <w:p>
            <w:pPr>
              <w:spacing w:after="0"/>
              <w:rPr>
                <w:sz w:val="12"/>
                <w:szCs w:val="12"/>
                <w:color w:val="auto"/>
              </w:rPr>
            </w:pPr>
          </w:p>
        </w:tc>
      </w:tr>
      <w:tr>
        <w:trPr>
          <w:trHeight w:val="193"/>
        </w:trPr>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acquisitions</w:t>
            </w:r>
          </w:p>
        </w:tc>
        <w:tc>
          <w:tcPr>
            <w:tcW w:w="10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Organic revenue</w:t>
            </w:r>
          </w:p>
        </w:tc>
        <w:tc>
          <w:tcPr>
            <w:tcW w:w="14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Total revenue</w:t>
            </w:r>
          </w:p>
        </w:tc>
        <w:tc>
          <w:tcPr>
            <w:tcW w:w="16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Total revenue</w:t>
            </w: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3"/>
              </w:rPr>
              <w:t>Growth</w:t>
            </w:r>
            <w:r>
              <w:rPr>
                <w:rFonts w:ascii="Times New Roman" w:cs="Times New Roman" w:eastAsia="Times New Roman" w:hAnsi="Times New Roman"/>
                <w:sz w:val="16"/>
                <w:szCs w:val="16"/>
                <w:b w:val="1"/>
                <w:bCs w:val="1"/>
                <w:color w:val="auto"/>
                <w:w w:val="93"/>
                <w:vertAlign w:val="superscript"/>
              </w:rPr>
              <w:t>(1)</w:t>
            </w:r>
          </w:p>
        </w:tc>
        <w:tc>
          <w:tcPr>
            <w:tcW w:w="130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Total Growth</w:t>
            </w:r>
          </w:p>
        </w:tc>
      </w:tr>
      <w:tr>
        <w:trPr>
          <w:trHeight w:val="182"/>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Government Relations Consulting</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102.5</w:t>
            </w:r>
          </w:p>
        </w:tc>
        <w:tc>
          <w:tcPr>
            <w:tcW w:w="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3.6 %</w:t>
            </w:r>
          </w:p>
        </w:tc>
        <w:tc>
          <w:tcPr>
            <w:tcW w:w="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5.9 %</w:t>
            </w:r>
          </w:p>
        </w:tc>
      </w:tr>
      <w:tr>
        <w:trPr>
          <w:trHeight w:val="189"/>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Corporate Communications &amp; Public Affairs Consulting</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36.4</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8.9 %</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78.7 %</w:t>
            </w:r>
          </w:p>
        </w:tc>
      </w:tr>
      <w:tr>
        <w:trPr>
          <w:trHeight w:val="191"/>
        </w:trPr>
        <w:tc>
          <w:tcPr>
            <w:tcW w:w="3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Compliance and Insights Services</w:t>
            </w: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13.0</w:t>
            </w: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10.7</w:t>
            </w:r>
          </w:p>
        </w:tc>
        <w:tc>
          <w:tcPr>
            <w:tcW w:w="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21.5 %</w:t>
            </w:r>
          </w:p>
        </w:tc>
        <w:tc>
          <w:tcPr>
            <w:tcW w:w="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21.5 %</w:t>
            </w:r>
          </w:p>
        </w:tc>
      </w:tr>
      <w:tr>
        <w:trPr>
          <w:trHeight w:val="182"/>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158.9</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186.5</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149.6</w:t>
            </w: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6.2 %</w:t>
            </w: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24.7 %</w:t>
            </w:r>
          </w:p>
        </w:tc>
      </w:tr>
    </w:tbl>
    <w:p>
      <w:pPr>
        <w:spacing w:after="0" w:line="170" w:lineRule="exact"/>
        <w:rPr>
          <w:sz w:val="20"/>
          <w:szCs w:val="20"/>
          <w:color w:val="auto"/>
        </w:rPr>
      </w:pPr>
    </w:p>
    <w:p>
      <w:pPr>
        <w:ind w:left="120" w:hanging="115"/>
        <w:spacing w:after="0"/>
        <w:tabs>
          <w:tab w:leader="none" w:pos="120" w:val="left"/>
        </w:tabs>
        <w:numPr>
          <w:ilvl w:val="0"/>
          <w:numId w:val="1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Refer to the Non-GAAP Financial Measures section below for the Company’s definition of Organic Revenue Growth.</w:t>
      </w:r>
    </w:p>
    <w:p>
      <w:pPr>
        <w:spacing w:after="0" w:line="110"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Our total revenue increased 24.7%, to $186.5 million for the year ended December 31, 2025 compared to $149.6 million for the year ended December 31, 2024, with Organic Revenue Growth contributing 6.2% of growth.</w:t>
      </w:r>
    </w:p>
    <w:p>
      <w:pPr>
        <w:spacing w:after="0" w:line="8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This performance was supported by increased client demand, particularly within our Compliance and Insights Services segment as well as Corporate Communications &amp; Public Affairs segment, combined with sustained demand for Government Relations Consulting. These increases demonstrate the stability of the Company’s core business operations, the dedication of our management teams across our member companies, and the critical importance of our work to our clients, with the balance of growth driven by the successful integrations of two Q2 2024 acquisitions, Lucas and Pagefield, which have meaningfully contributed to the Company’s financial performance in 2025 as well as the Q2 2025 acquisition of TrailRunner and the Q3 2025 acquisition of Pine Cove.</w:t>
      </w:r>
    </w:p>
    <w:p>
      <w:pPr>
        <w:spacing w:after="0" w:line="9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Organic growth of 6.2% for the year ended December 31, 2025 was primarily attributable to the strong organic growth in Compliance and Insights Services at 21.5%, as a result of high renewal rates, price increases, and new clients wins, all together reflective of a unique and high value-added offering together with our increased organic growth in both our Corporate Communications &amp; Public Affairs segment at 8.9% and Government Relations segment at 3.6%.</w:t>
      </w:r>
    </w:p>
    <w:p>
      <w:pPr>
        <w:spacing w:after="0" w:line="9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2025, 58.1% of the Company’s revenues were attributable to our Government Relations segment as compared to 68.5% during the year ended December 31, 2024. That decrease was offset by the revenues attributable to our Corporate Communications &amp; Public Affairs segment, which increased substantially to 34.9% during the year ended December 31, 2025 compared to 24.3% in the prior year; 7.0% of our total revenues were from our Compliance and Insights Services segment, a slight decrease as compared to the previous year of 7.2%.</w:t>
      </w:r>
    </w:p>
    <w:p>
      <w:pPr>
        <w:spacing w:after="0" w:line="93"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Our Government Relations Consulting segment’s revenue increased by 5.9%, to $108.5 million for the year ended December 31, 2025, compared to $102.5 million as reported for the year ended December 31, 2024. These increases reflect Organic Revenue Growth of 3.6%, for the year ended December 31, 2025 in tandem with the acquisitions of Pagefield (completed in 2024 Q2) and Pine Cove (completed in 2025 Q3).</w:t>
      </w:r>
    </w:p>
    <w:p>
      <w:pPr>
        <w:spacing w:after="0" w:line="9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Our Corporate Communications &amp; Public Affairs Consulting segment’s revenue increased by 78.7% to $65.1 million for the year ended December 31, 2025, compared to $36.4 million for the year ended December 31, 2024. These increases reflect Organic Revenue Growth of 8.9% for the year ended December 31, 2025, a result of a strong rebound from a soft first half of 2024, in tandem with the acquisitions of Pagefield, Lucas (both completed in 2024 Q2) and TrailRunner (completed in 2025 Q2).</w:t>
      </w:r>
    </w:p>
    <w:p>
      <w:pPr>
        <w:spacing w:after="0" w:line="93"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Our Compliance and Insight Services segment’s revenue grew by 21.5% to $13.0 million for the year ended December 31, 2025, compared to $10.7 million for the year ended December 31, 2024. 100% of this growth was organic, driven by increasing demand for specialized services, including compliance, grant writing, and research-driven policy insights, and characterized by high renewal rates, favorable pricing and new clients wins, all together reflective of a unique and high value-added offering.</w:t>
      </w:r>
    </w:p>
    <w:p>
      <w:pPr>
        <w:spacing w:after="0" w:line="93"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2025, we generated $8.9 million, or 4.8% of our total revenue, outside of the US, as compared to $4.1 million, or 2.7% for the year ended December 31, 2024, being a result of our growing international presence resulting from our Pagefield and TrailRunner acquisitions.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Services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presents the components of cost of services: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1000" w:type="dxa"/>
            <w:vAlign w:val="bottom"/>
            <w:tcBorders>
              <w:bottom w:val="single" w:sz="8" w:color="auto"/>
            </w:tcBorders>
          </w:tcPr>
          <w:p>
            <w:pPr>
              <w:spacing w:after="0"/>
              <w:rPr>
                <w:sz w:val="15"/>
                <w:szCs w:val="15"/>
                <w:color w:val="auto"/>
              </w:rPr>
            </w:pPr>
          </w:p>
        </w:tc>
      </w:tr>
      <w:tr>
        <w:trPr>
          <w:trHeight w:val="182"/>
        </w:trPr>
        <w:tc>
          <w:tcPr>
            <w:tcW w:w="7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 Change</w:t>
            </w:r>
          </w:p>
        </w:tc>
        <w:tc>
          <w:tcPr>
            <w:tcW w:w="100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 Change</w:t>
            </w:r>
          </w:p>
        </w:tc>
      </w:tr>
      <w:tr>
        <w:trPr>
          <w:trHeight w:val="179"/>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Salaries and other personnel costs</w:t>
            </w: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183"/>
        </w:trPr>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Staff cost - direct</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92.1</w:t>
            </w:r>
          </w:p>
        </w:tc>
        <w:tc>
          <w:tcPr>
            <w:tcW w:w="8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w:t>
            </w:r>
          </w:p>
        </w:tc>
        <w:tc>
          <w:tcPr>
            <w:tcW w:w="8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21.8 %</w:t>
            </w:r>
          </w:p>
        </w:tc>
      </w:tr>
      <w:tr>
        <w:trPr>
          <w:trHeight w:val="19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 based accounting charge - direct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0.4 %</w:t>
            </w:r>
          </w:p>
        </w:tc>
      </w:tr>
      <w:tr>
        <w:trPr>
          <w:trHeight w:val="183"/>
        </w:trPr>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Long term incentive program charges - direct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81.4 %</w:t>
            </w:r>
          </w:p>
        </w:tc>
      </w:tr>
      <w:tr>
        <w:trPr>
          <w:trHeight w:val="19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Post-combination compensation - direct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83.4 %</w:t>
            </w:r>
          </w:p>
        </w:tc>
      </w:tr>
      <w:tr>
        <w:trPr>
          <w:trHeight w:val="183"/>
        </w:trPr>
        <w:tc>
          <w:tcPr>
            <w:tcW w:w="7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Bonus - direct</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14.7</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55.8 %</w:t>
            </w:r>
          </w:p>
        </w:tc>
      </w:tr>
      <w:tr>
        <w:trPr>
          <w:trHeight w:val="18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salaries and other personnel costs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160.8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27.0 %</w:t>
            </w:r>
          </w:p>
        </w:tc>
      </w:tr>
      <w:tr>
        <w:trPr>
          <w:trHeight w:val="183"/>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Office and other direct costs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Amortization developed software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7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Office costs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6.5</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28.3 %</w:t>
            </w:r>
          </w:p>
        </w:tc>
      </w:tr>
      <w:tr>
        <w:trPr>
          <w:trHeight w:val="182"/>
        </w:trPr>
        <w:tc>
          <w:tcPr>
            <w:tcW w:w="7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office and other direct costs</w:t>
            </w: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w:t>
            </w: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25.5 %</w:t>
            </w:r>
          </w:p>
        </w:tc>
      </w:tr>
      <w:tr>
        <w:trPr>
          <w:trHeight w:val="182"/>
        </w:trPr>
        <w:tc>
          <w:tcPr>
            <w:tcW w:w="7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Cost of services</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167.9</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132.3</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26.9 %</w:t>
            </w:r>
          </w:p>
        </w:tc>
      </w:tr>
    </w:tbl>
    <w:p>
      <w:pPr>
        <w:spacing w:after="0" w:line="18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Salaries and other personnel costs represent our largest component of cost of services. Its principal components include employee salaries and benefits, share-based accounting charges, long term incentive program charges, post-combination compensation expense, and employee bonuses from operations that deliver services to our clients. For the year ended December 31, 2025, salaries and other personnel costs increased by 27.0% to $160.8 million compared to $126.6 million for the year ended December 31, 2024. Of the $34.2 million increase, $20.9 million was driven by the acquisitions of TrailRunner and Pine Cove in 2025 as well as an increase of $3.8 million from Lucas and Pagefield as they were acquired in Q2 2024; the remaining increases were driven by targeted hiring in tandem with revenue growth across all three segments to support our growing business. Long-term incentive program ("LTIP") charges were $6.0 million for the year ended December 31, 2025 compared to $3.3 million for the year ended December 31, 2024 primarily a result of the program reaching its steady state level and the majority of the three year vesting completed in 2025. Our post-combination compensation expense increased by 83.4% year over year, also a result of our 2024 and 2025 acquisitions. Annual bonus amounts were $14.7 million for the year ended December 31, 2025 compared to $9.5 million for the year ended December 31, 2024; These bonus amounts represent annual bonus payments paid as compensation for services to senior executives and employees based on the Company’s performance, the relative performance of the member company and for the individuals meeting their performance goals.</w:t>
      </w:r>
    </w:p>
    <w:p>
      <w:pPr>
        <w:spacing w:after="0" w:line="10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Office and other direct costs also represent a component of cost of services. Its principal component includes operating lease expense for premises leased by the Company’s member and holding companies. Office and other direct costs increased by 25.5% in the year ended December 31, 2025 to $7.1 million, compared to $5.7 million for the year ended December 31, 2024, resulting from the additional office spaces associated with the acquisitions of Lucas, Pagefield, Pine Cove and TrailRunner.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Salaries, general and administrative expenses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presents the components of general and administrative expenses: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1020" w:type="dxa"/>
            <w:vAlign w:val="bottom"/>
            <w:tcBorders>
              <w:bottom w:val="single" w:sz="8" w:color="auto"/>
            </w:tcBorders>
          </w:tcPr>
          <w:p>
            <w:pPr>
              <w:spacing w:after="0"/>
              <w:rPr>
                <w:sz w:val="15"/>
                <w:szCs w:val="15"/>
                <w:color w:val="auto"/>
              </w:rPr>
            </w:pPr>
          </w:p>
        </w:tc>
      </w:tr>
      <w:tr>
        <w:trPr>
          <w:trHeight w:val="182"/>
        </w:trPr>
        <w:tc>
          <w:tcPr>
            <w:tcW w:w="6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rPr>
              <w:t>2024</w:t>
            </w:r>
          </w:p>
        </w:tc>
        <w:tc>
          <w:tcPr>
            <w:tcW w:w="240" w:type="dxa"/>
            <w:vAlign w:val="bottom"/>
          </w:tcPr>
          <w:p>
            <w:pPr>
              <w:spacing w:after="0"/>
              <w:rPr>
                <w:sz w:val="15"/>
                <w:szCs w:val="15"/>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 Change</w:t>
            </w:r>
          </w:p>
        </w:tc>
        <w:tc>
          <w:tcPr>
            <w:tcW w:w="102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 Change</w:t>
            </w:r>
          </w:p>
        </w:tc>
      </w:tr>
      <w:tr>
        <w:trPr>
          <w:trHeight w:val="19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Non-staff costs</w:t>
            </w:r>
          </w:p>
        </w:tc>
        <w:tc>
          <w:tcPr>
            <w:tcW w:w="58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18.3</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13.8</w:t>
            </w: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center"/>
              <w:ind w:left="356"/>
              <w:spacing w:after="0"/>
              <w:rPr>
                <w:sz w:val="20"/>
                <w:szCs w:val="20"/>
                <w:color w:val="auto"/>
              </w:rPr>
            </w:pPr>
            <w:r>
              <w:rPr>
                <w:rFonts w:ascii="Times New Roman" w:cs="Times New Roman" w:eastAsia="Times New Roman" w:hAnsi="Times New Roman"/>
                <w:sz w:val="13"/>
                <w:szCs w:val="13"/>
                <w:color w:val="auto"/>
                <w:w w:val="98"/>
              </w:rPr>
              <w:t>4.5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32.9 %</w:t>
            </w:r>
          </w:p>
        </w:tc>
      </w:tr>
      <w:tr>
        <w:trPr>
          <w:trHeight w:val="183"/>
        </w:trPr>
        <w:tc>
          <w:tcPr>
            <w:tcW w:w="6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Staff cost - indirect</w:t>
            </w:r>
          </w:p>
        </w:tc>
        <w:tc>
          <w:tcPr>
            <w:tcW w:w="5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7.5</w:t>
            </w:r>
          </w:p>
        </w:tc>
        <w:tc>
          <w:tcPr>
            <w:tcW w:w="300" w:type="dxa"/>
            <w:vAlign w:val="bottom"/>
          </w:tcPr>
          <w:p>
            <w:pPr>
              <w:spacing w:after="0"/>
              <w:rPr>
                <w:sz w:val="15"/>
                <w:szCs w:val="15"/>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6.1</w:t>
            </w:r>
          </w:p>
        </w:tc>
        <w:tc>
          <w:tcPr>
            <w:tcW w:w="240" w:type="dxa"/>
            <w:vAlign w:val="bottom"/>
          </w:tcPr>
          <w:p>
            <w:pPr>
              <w:spacing w:after="0"/>
              <w:rPr>
                <w:sz w:val="15"/>
                <w:szCs w:val="15"/>
                <w:color w:val="auto"/>
              </w:rPr>
            </w:pPr>
          </w:p>
        </w:tc>
        <w:tc>
          <w:tcPr>
            <w:tcW w:w="1020" w:type="dxa"/>
            <w:vAlign w:val="bottom"/>
          </w:tcPr>
          <w:p>
            <w:pPr>
              <w:jc w:val="center"/>
              <w:ind w:left="356"/>
              <w:spacing w:after="0"/>
              <w:rPr>
                <w:sz w:val="20"/>
                <w:szCs w:val="20"/>
                <w:color w:val="auto"/>
              </w:rPr>
            </w:pPr>
            <w:r>
              <w:rPr>
                <w:rFonts w:ascii="Times New Roman" w:cs="Times New Roman" w:eastAsia="Times New Roman" w:hAnsi="Times New Roman"/>
                <w:sz w:val="13"/>
                <w:szCs w:val="13"/>
                <w:color w:val="auto"/>
                <w:w w:val="98"/>
              </w:rPr>
              <w:t>1.3</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22.0 %</w:t>
            </w:r>
          </w:p>
        </w:tc>
      </w:tr>
      <w:tr>
        <w:trPr>
          <w:trHeight w:val="19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 based accounting charge - indirect</w:t>
            </w: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5.2</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center"/>
              <w:ind w:left="316"/>
              <w:spacing w:after="0"/>
              <w:rPr>
                <w:sz w:val="20"/>
                <w:szCs w:val="20"/>
                <w:color w:val="auto"/>
              </w:rPr>
            </w:pPr>
            <w:r>
              <w:rPr>
                <w:rFonts w:ascii="Times New Roman" w:cs="Times New Roman" w:eastAsia="Times New Roman" w:hAnsi="Times New Roman"/>
                <w:sz w:val="13"/>
                <w:szCs w:val="13"/>
                <w:color w:val="auto"/>
                <w:w w:val="96"/>
              </w:rPr>
              <w:t>(2.2)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w:t>
            </w:r>
          </w:p>
        </w:tc>
      </w:tr>
      <w:tr>
        <w:trPr>
          <w:trHeight w:val="183"/>
        </w:trPr>
        <w:tc>
          <w:tcPr>
            <w:tcW w:w="6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Bonus - indirect</w:t>
            </w:r>
          </w:p>
        </w:tc>
        <w:tc>
          <w:tcPr>
            <w:tcW w:w="5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w:t>
            </w:r>
          </w:p>
        </w:tc>
        <w:tc>
          <w:tcPr>
            <w:tcW w:w="300" w:type="dxa"/>
            <w:vAlign w:val="bottom"/>
          </w:tcPr>
          <w:p>
            <w:pPr>
              <w:spacing w:after="0"/>
              <w:rPr>
                <w:sz w:val="15"/>
                <w:szCs w:val="15"/>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0.9</w:t>
            </w:r>
          </w:p>
        </w:tc>
        <w:tc>
          <w:tcPr>
            <w:tcW w:w="240" w:type="dxa"/>
            <w:vAlign w:val="bottom"/>
          </w:tcPr>
          <w:p>
            <w:pPr>
              <w:spacing w:after="0"/>
              <w:rPr>
                <w:sz w:val="15"/>
                <w:szCs w:val="15"/>
                <w:color w:val="auto"/>
              </w:rPr>
            </w:pPr>
          </w:p>
        </w:tc>
        <w:tc>
          <w:tcPr>
            <w:tcW w:w="1020" w:type="dxa"/>
            <w:vAlign w:val="bottom"/>
          </w:tcPr>
          <w:p>
            <w:pPr>
              <w:jc w:val="center"/>
              <w:ind w:left="356"/>
              <w:spacing w:after="0"/>
              <w:rPr>
                <w:sz w:val="20"/>
                <w:szCs w:val="20"/>
                <w:color w:val="auto"/>
              </w:rPr>
            </w:pPr>
            <w:r>
              <w:rPr>
                <w:rFonts w:ascii="Times New Roman" w:cs="Times New Roman" w:eastAsia="Times New Roman" w:hAnsi="Times New Roman"/>
                <w:sz w:val="13"/>
                <w:szCs w:val="13"/>
                <w:color w:val="auto"/>
                <w:w w:val="98"/>
              </w:rPr>
              <w:t>1.1</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115.7 %</w:t>
            </w:r>
          </w:p>
        </w:tc>
      </w:tr>
      <w:tr>
        <w:trPr>
          <w:trHeight w:val="191"/>
        </w:trPr>
        <w:tc>
          <w:tcPr>
            <w:tcW w:w="6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 term incentive program charges - indirect</w:t>
            </w:r>
          </w:p>
        </w:tc>
        <w:tc>
          <w:tcPr>
            <w:tcW w:w="5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w:t>
            </w:r>
          </w:p>
        </w:tc>
        <w:tc>
          <w:tcPr>
            <w:tcW w:w="3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0.8</w:t>
            </w: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center"/>
              <w:ind w:left="356"/>
              <w:spacing w:after="0"/>
              <w:rPr>
                <w:sz w:val="20"/>
                <w:szCs w:val="20"/>
                <w:color w:val="auto"/>
              </w:rPr>
            </w:pPr>
            <w:r>
              <w:rPr>
                <w:rFonts w:ascii="Times New Roman" w:cs="Times New Roman" w:eastAsia="Times New Roman" w:hAnsi="Times New Roman"/>
                <w:sz w:val="13"/>
                <w:szCs w:val="13"/>
                <w:color w:val="auto"/>
                <w:w w:val="98"/>
              </w:rPr>
              <w:t>0.2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25.5 %</w:t>
            </w:r>
          </w:p>
        </w:tc>
      </w:tr>
      <w:tr>
        <w:trPr>
          <w:trHeight w:val="182"/>
        </w:trPr>
        <w:tc>
          <w:tcPr>
            <w:tcW w:w="6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Salaries, general and administrative</w:t>
            </w:r>
          </w:p>
        </w:tc>
        <w:tc>
          <w:tcPr>
            <w:tcW w:w="5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31.8</w:t>
            </w:r>
          </w:p>
        </w:tc>
        <w:tc>
          <w:tcPr>
            <w:tcW w:w="3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26.8</w:t>
            </w:r>
          </w:p>
        </w:tc>
        <w:tc>
          <w:tcPr>
            <w:tcW w:w="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center"/>
              <w:ind w:left="356"/>
              <w:spacing w:after="0"/>
              <w:rPr>
                <w:sz w:val="20"/>
                <w:szCs w:val="20"/>
                <w:color w:val="auto"/>
              </w:rPr>
            </w:pPr>
            <w:r>
              <w:rPr>
                <w:rFonts w:ascii="Times New Roman" w:cs="Times New Roman" w:eastAsia="Times New Roman" w:hAnsi="Times New Roman"/>
                <w:sz w:val="13"/>
                <w:szCs w:val="13"/>
                <w:color w:val="auto"/>
                <w:w w:val="98"/>
              </w:rPr>
              <w:t>5.0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18.5 %</w:t>
            </w:r>
          </w:p>
        </w:tc>
      </w:tr>
    </w:tbl>
    <w:p>
      <w:pPr>
        <w:spacing w:after="0" w:line="176"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Salaries, general and administrative expenses’ principal components comprise general and administrative expenses, employee salaries, share-based accounting charges, long term incentive program charges, post-combination compensation expense, US and UK public company costs and related costs, advisory costs, benefits and bonuses of employees employed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in our corporate function. Salaries, general and administrative expenses increased 18.5% in the year ended December 31, 2025, to $31.8 million, compared to $26.8 million for the year ended December 31, 2024, reflecting investments in the Company’s holding company in preparation for our US IPO in building out a robust and experienced team to support our new reporting requirements, increases in costs of advisors and auditors related to the US IPO, and additional costs such as valuation experts associated with the Lucas, Pagefield, TrailRunner and Pine Cove acquisitions. Additionally, the share-based accounting charge decreased by $2.2 million in the year ended December 31, 2025 a result of the accelerated vesting of retained Pre-UK IPO shares for a single executive upon retirement from the Company during the year ended December 31,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Mergers and acquisitions expense</w:t>
      </w:r>
    </w:p>
    <w:p>
      <w:pPr>
        <w:spacing w:after="0" w:line="13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principal components of mergers and acquisitions expense include legal, audit and other advisory expenses, transaction taxes such as UK stamp duty related to acquisitions made in the UK, and debt origination costs. Mergers and acquisitions expense decreased by 65.6% in the year ended December 31, 2025, to $0.8 million, compared to $2.4 million in the year ended December 31, 2024, reflecting the reduction in costs from the relatively high 2024 costs associated with the acquisitions of Lucas and Pagefield, the latter representing the Company’s first non-US acquisition. During 2025, the Company utilized less external resources for the TrailRunner and Pine Cove acquisitions.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Loss of impairment of intangible assets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Loss of impairment of intangible assets for 2025 was $2.9 million as compared to zero for the year ended December 31, 2024. Refer to Note 6. Goodwill And Intangible Assets.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Loss on impairment of goodwill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Loss on impairment of goodwill for 2025 was $6.2 million as compared to zero for the year ended December 31, 2024. Refer to Note 6. Goodwill and Intangible Assets.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Depreciation and amortization expense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presents the components of depreciation and amortization expense: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20" w:type="dxa"/>
            <w:vAlign w:val="bottom"/>
          </w:tcPr>
          <w:p>
            <w:pPr>
              <w:spacing w:after="0"/>
              <w:rPr>
                <w:sz w:val="15"/>
                <w:szCs w:val="15"/>
                <w:color w:val="auto"/>
              </w:rPr>
            </w:pPr>
          </w:p>
        </w:tc>
        <w:tc>
          <w:tcPr>
            <w:tcW w:w="282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440" w:type="dxa"/>
            <w:vAlign w:val="bottom"/>
            <w:tcBorders>
              <w:bottom w:val="single" w:sz="8" w:color="auto"/>
            </w:tcBorders>
          </w:tcPr>
          <w:p>
            <w:pPr>
              <w:spacing w:after="0"/>
              <w:rPr>
                <w:sz w:val="15"/>
                <w:szCs w:val="15"/>
                <w:color w:val="auto"/>
              </w:rPr>
            </w:pPr>
          </w:p>
        </w:tc>
      </w:tr>
      <w:tr>
        <w:trPr>
          <w:trHeight w:val="182"/>
        </w:trPr>
        <w:tc>
          <w:tcPr>
            <w:tcW w:w="8020" w:type="dxa"/>
            <w:vAlign w:val="bottom"/>
          </w:tcPr>
          <w:p>
            <w:pPr>
              <w:spacing w:after="0"/>
              <w:rPr>
                <w:sz w:val="15"/>
                <w:szCs w:val="15"/>
                <w:color w:val="auto"/>
              </w:rPr>
            </w:pPr>
          </w:p>
        </w:tc>
        <w:tc>
          <w:tcPr>
            <w:tcW w:w="114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Pr>
          <w:p>
            <w:pPr>
              <w:spacing w:after="0"/>
              <w:rPr>
                <w:sz w:val="15"/>
                <w:szCs w:val="15"/>
                <w:color w:val="auto"/>
              </w:rPr>
            </w:pPr>
          </w:p>
        </w:tc>
        <w:tc>
          <w:tcPr>
            <w:tcW w:w="122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2024</w:t>
            </w:r>
          </w:p>
        </w:tc>
        <w:tc>
          <w:tcPr>
            <w:tcW w:w="440" w:type="dxa"/>
            <w:vAlign w:val="bottom"/>
          </w:tcPr>
          <w:p>
            <w:pPr>
              <w:spacing w:after="0"/>
              <w:rPr>
                <w:sz w:val="15"/>
                <w:szCs w:val="15"/>
                <w:color w:val="auto"/>
              </w:rPr>
            </w:pPr>
          </w:p>
        </w:tc>
      </w:tr>
      <w:tr>
        <w:trPr>
          <w:trHeight w:val="19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services</w:t>
            </w: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189"/>
        </w:trPr>
        <w:tc>
          <w:tcPr>
            <w:tcW w:w="8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Amortization – technology</w:t>
            </w:r>
          </w:p>
        </w:tc>
        <w:tc>
          <w:tcPr>
            <w:tcW w:w="1140" w:type="dxa"/>
            <w:vAlign w:val="bottom"/>
            <w:tcBorders>
              <w:bottom w:val="single" w:sz="8" w:color="auto"/>
            </w:tcBorders>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220" w:type="dxa"/>
            <w:vAlign w:val="bottom"/>
            <w:tcBorders>
              <w:bottom w:val="single" w:sz="8" w:color="auto"/>
            </w:tcBorders>
          </w:tcPr>
          <w:p>
            <w:pPr>
              <w:jc w:val="right"/>
              <w:ind w:right="1016"/>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w:t>
            </w:r>
          </w:p>
        </w:tc>
      </w:tr>
      <w:tr>
        <w:trPr>
          <w:trHeight w:val="16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Charged to cost of services</w:t>
            </w:r>
          </w:p>
        </w:tc>
        <w:tc>
          <w:tcPr>
            <w:tcW w:w="1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r>
      <w:tr>
        <w:trPr>
          <w:trHeight w:val="183"/>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 expense</w:t>
            </w: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99"/>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Amortization – customer relations companies acquired</w:t>
            </w: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89"/>
        </w:trPr>
        <w:tc>
          <w:tcPr>
            <w:tcW w:w="8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Amortization – non-compete companies acquired</w:t>
            </w: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2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r>
      <w:tr>
        <w:trPr>
          <w:trHeight w:val="191"/>
        </w:trPr>
        <w:tc>
          <w:tcPr>
            <w:tcW w:w="80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Depreciation</w:t>
            </w:r>
          </w:p>
        </w:tc>
        <w:tc>
          <w:tcPr>
            <w:tcW w:w="11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2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60"/>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Charged to depreciation and amortization expense</w:t>
            </w:r>
          </w:p>
        </w:tc>
        <w:tc>
          <w:tcPr>
            <w:tcW w:w="1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60"/>
        </w:trPr>
        <w:tc>
          <w:tcPr>
            <w:tcW w:w="8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depreciation and amortization expense</w:t>
            </w:r>
          </w:p>
        </w:tc>
        <w:tc>
          <w:tcPr>
            <w:tcW w:w="114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220" w:type="dxa"/>
            <w:vAlign w:val="bottom"/>
            <w:tcBorders>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r>
    </w:tbl>
    <w:p>
      <w:pPr>
        <w:spacing w:after="0" w:line="18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principal components of depreciation and amortization expense include the amortization of intangible assets relating to customer relationships, developed technology, and non-compete contracts. Depreciation and amortization expense increased by 29.8% in the year ended December 31, 2025, to $6.2 million, compared to $4.8 million in the year ended December 31, 2024, reflecting additional costs associated with the acquisitions of Lucas, Pagefield and TrailRunner.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fair value of contingent consideration</w:t>
      </w:r>
    </w:p>
    <w:p>
      <w:pPr>
        <w:spacing w:after="0" w:line="13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Change in fair value of contingent consideration represents changes in the obligations relating to historical acquisitions, to the extent those obligations are not subject to vesting or claw-back provisions. The contingent consideration represents a liability is settled through a combination of cash and shares of our Common Stock based on the respective purchase agreement and the amount ultimately paid is dependent on the achievement of certain operating results. Change in fair value of contingent consideration increased by 169.5% in the year ended December 31, 2025, to $5.1 million, compared to $1.9 million in the year ended December 31, 2024, reflecting a combination of changes in the outlook of companies already under earnout prior to year end such as MultiState, KP, Lucas and Pagefield.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Gain on bargain purchase</w:t>
      </w:r>
    </w:p>
    <w:p>
      <w:pPr>
        <w:spacing w:after="0" w:line="13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Gain on bargain purchase comprises of the difference between the fair value of the net identifiable assets acquired and the purchase price paid, where the purchase price is lower than the fair value of the acquired assets. There was a $2.0 million gain on bargain purchase for the year ended December 31, 2025 resulting from the 2025 acquisition of TrailRunner and Pine Cove compared to $2.5 million in the year ended December 31, 2024 resulting from the 2024 acquisition of Lucas Public Affairs.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138"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Interest income represents the interest income accrued on interest bearing accounts and financial instruments. Interest income decreased by 54.2% in the year ended December 31, 2025, to $0.1 million, compared to $0.2 million in the year ended December 31, 2024, reflecting a decrease in interest earned on loans made to certain Alpine employees.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13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Interest expense represents the interest expense incurred under our Term Loans as defined in Item 8. Financial Statements, Note 9 - Notes Payable, which includes a description under “—Liquidity and Capital Resources—Financial Obligations". Interest expenses includes cash interest and debt discount amortization amounts. Interest expense increased by 79.0% in the year ended December 31, 2025, to $3.4 million, compared to $1.9 million in the year ended December 31, 2024, reflecting interest on increased principal amounts that are associated with new Term Loans with financial institutions in 2025.</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3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Our management uses a variety of financial and operating metrics to analyze our performance. These metrics are significant factors in assessing our operating results and profitability. These financial and operating metrics include Adjusted EBITDA, Adjusted EBITDA margin, Adjusted EBITDA Including M&amp;A expense, Adjusted net income, Adjusted EPS basic, Adjusted EPS fully diluted, Organic Revenue Growth, and Adjusted Free Cash Flow which are financial measures not recognized under US GAAP.</w:t>
      </w:r>
    </w:p>
    <w:p>
      <w:pPr>
        <w:spacing w:after="0" w:line="9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These non-GAAP financial measures are used by management to measure our operating performance, but may not be directly comparable to similar measures, such as EBITDA or Adjusted EBITDA, relied on or reported by other companies, including other companies in our industry. We believe excluding items that neither relate to the ordinary course of business nor reflect our underlying business operating performance, such as equity-based compensation, the amortization of acquired intangible assets, acquisition-related post-combination compensation and contingent consideration, gains on bargain purchase price, interest and tax enables meaningful period-to-period comparisons of our operating performance. We also use these non-GAAP financial measures when publicly providing our business outlook, for internal management purposes, and as a basis for evaluating potential acquisitions and dispositions.</w:t>
      </w:r>
    </w:p>
    <w:p>
      <w:pPr>
        <w:spacing w:after="0" w:line="10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We believe that the exclusion of equity-based compensation expense such as stock options, RSAs, RSUs and equity-based compensation related to retained Pre-UK IPO shares granted in relation to our listing on the London Stock Exchange, is appropriate because it eliminates the impact of non-cash expenses for equity-based compensation costs that are based upon valuation methodologies and assumptions that can vary significantly over time due to factors that are (i) unrelated to our core operating performance, and (ii) can be outside of our control. Although we exclude equity-based compensation expenses from our non-GAAP measures, equity compensation has been, and will continue to be, an important part of our future compensation and retention strategy and a significant component of our future expenses that may increase in future periods. Additionally, we believe the exclusion of compensation expense related to share appreciation rights, which are cash settled, is unrelated to our core operating performance in addition to the fact that share appreciation rights are no longer part of our compensation plans going forward.</w:t>
      </w:r>
    </w:p>
    <w:p>
      <w:pPr>
        <w:spacing w:after="0" w:line="10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define Adjusted EBITDA, which is a non-GAAP financial measure, as consolidated net loss before depreciation, interest income, interest expense, income tax expense, mergers and acquisitions (“M&amp;A”) expenses, long-term incentive program charges, share-based accounting charges, post-combination compensation charges, impairment, change in fair value of contingent consideration, gain on bargain purchase price net of deferred taxes and amortization of intangible assets. Adjusted EBITDA Incl. M&amp;A expense we define as net loss before depreciation, interest income, interest expense, income tax expense, long-term incentive program charges, share-based accounting charges, post-combination compensation charges, change in fair value of contingent consideration, gain on bargain purchase price net of deferred taxes and amortization of intangible assets. We define Adjusted EBITDA Margin as Adjusted EBITDA divided by revenue. We believe that these non-GAAP financial measures, when considered together with our GAAP financial results and GAAP financial measures, provide management and investors with a more complete understanding of our operating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results, including underlying trends. While our Adjusted EBITDA may not be directly comparable to the EBITDA or other measures used by others, we believe it helps provide a clearer picture of the underlying performance of the business by removing certain expenses tied to specific historical acquisitions, including post-combination compensation charges, as well as non-cash charges such as depreciation and amortization of intangibles. Additionally, we believe that Adjusted EBITDA provides investors and management with operating results that reflect our core operating activity of serving clients by removing the highly variable M&amp;A costs expenditure.</w:t>
      </w:r>
    </w:p>
    <w:p>
      <w:pPr>
        <w:spacing w:after="0" w:line="9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4"/>
          <w:szCs w:val="14"/>
          <w:color w:val="auto"/>
        </w:rPr>
        <w:t>We define Adjusted Net Income, which is a non-GAAP financial measure, as consolidated net loss before long-term incentive program charges, share-based accounting charges, post-combination compensation charges, change in fair value of contingent consideration, impairment, gain on bargain purchase price net of deferred taxes and amortization of intangible assets. We use Adjusted Net Income for the purpose of calculating Adjusted Earnings per Share ("Adjusted EPS", being referenced as either "Adjusted EPS, basic" or "Adjusted EPS, fully diluted"). Management uses Adjusted EPS diluted to assess total group operating performance on a consistent basis. We define Adjusted Net Income as net income excluding the impact of long-term incentive program charges, share-based accounting charges, post-combination compensation charges, change in fair value of contingent consideration, gain on bargain purchase price net of deferred taxes and amortization of intangible assets. We believe that these non-GAAP financial measures, when considered together with our GAAP financial results and GAAP financial measures, provide management and investors with a clearer picture of our underlying business operating results.</w:t>
      </w:r>
    </w:p>
    <w:p>
      <w:pPr>
        <w:spacing w:after="0" w:line="10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define Adjusted Free Cash Flow, which is a non-GAAP financial measure, as net cash provided by operating activities less cash payments for purchases of property and equipment and less acquisition related payouts classified in operating cash flows specifically changes in prepaid post combination payments, changes in other liability (liability classified earnout obligations) and changes in contingent consideration. We believe this non-GAAP financial measure, when considered together with our GAAP financial results, provides management and investors with useful supplemental information on our ability to generate cash for ongoing business operations and capital deployment.</w:t>
      </w:r>
    </w:p>
    <w:p>
      <w:pPr>
        <w:spacing w:after="0" w:line="98"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We define Net Cash (Debt) as total unrestricted cash and cash equivalents less the total principal amount of debt outstanding. The total principal amount of debt outstanding is comprised of the long-term debt and current maturities of long-term debt as presented in our consolidated balance sheets adding back any debt issuance costs. We believe that the presentation of Net Cash (Debt) provides useful information to investors because our management reviews Net Cash (Debt) as part of our oversight of overall liquidity, financial flexibility and leverage.</w:t>
      </w:r>
    </w:p>
    <w:p>
      <w:pPr>
        <w:spacing w:after="0" w:line="9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We define Organic Revenue Growth as the year-over-year revenue growth excluding revenues from acquired businesses for the first twelve months following the date of acquisition. For purposes of this calculation, the revenue of an acquired business is classified as acquired revenue and excluded from Organic Revenue Growth until the thirteenth month following the acquisition date. Beginning in the thirteenth month, the revenue from that acquisition is included in the Organic Revenue Growth comparison against the corresponding prior-year period. This approach ensures comparability by aligning revenue bases year-over-year and isolating the performance of our ongoing operations. We believe that Organic Revenue Growth is a useful supplemental metric for investors and management, as it provides a clearer view of underlying revenue trends excluding the impact of acquisition-related growth.</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Highlights</w:t>
      </w:r>
    </w:p>
    <w:p>
      <w:pPr>
        <w:spacing w:after="0" w:line="13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table below presents the revenue, its growth, and other financial performance measures over the period 2018-2025. Results for the period 2018-2025 provides supplemental financial information prior to our initial registration with the SEC:</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CAGR</w:t>
            </w:r>
          </w:p>
        </w:tc>
      </w:tr>
      <w:tr>
        <w:trPr>
          <w:trHeight w:val="186"/>
        </w:trPr>
        <w:tc>
          <w:tcPr>
            <w:tcW w:w="20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2018</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2019</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0" w:type="dxa"/>
            <w:vAlign w:val="bottom"/>
            <w:tcBorders>
              <w:bottom w:val="single" w:sz="8" w:color="CCEEFF"/>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2018-2025</w:t>
            </w:r>
          </w:p>
        </w:tc>
      </w:tr>
      <w:tr>
        <w:trPr>
          <w:trHeight w:val="18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33.8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55.5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77.4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99.3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108.8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135.0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149.6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186.5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27.6 %</w:t>
            </w:r>
          </w:p>
        </w:tc>
      </w:tr>
      <w:tr>
        <w:trPr>
          <w:trHeight w:val="183"/>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 growth (year over year)</w:t>
            </w:r>
          </w:p>
        </w:tc>
        <w:tc>
          <w:tcPr>
            <w:tcW w:w="180" w:type="dxa"/>
            <w:vAlign w:val="bottom"/>
          </w:tcPr>
          <w:p>
            <w:pPr>
              <w:spacing w:after="0"/>
              <w:rPr>
                <w:sz w:val="15"/>
                <w:szCs w:val="15"/>
                <w:color w:val="auto"/>
              </w:rPr>
            </w:pPr>
          </w:p>
        </w:tc>
        <w:tc>
          <w:tcPr>
            <w:tcW w:w="66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7"/>
              </w:rPr>
              <w:t>28.0 %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7"/>
              </w:rPr>
              <w:t>64.2 %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7"/>
              </w:rPr>
              <w:t>28.3 %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24.7 %</w:t>
            </w:r>
          </w:p>
        </w:tc>
        <w:tc>
          <w:tcPr>
            <w:tcW w:w="1200" w:type="dxa"/>
            <w:vAlign w:val="bottom"/>
          </w:tcPr>
          <w:p>
            <w:pPr>
              <w:spacing w:after="0"/>
              <w:rPr>
                <w:sz w:val="15"/>
                <w:szCs w:val="15"/>
                <w:color w:val="auto"/>
              </w:rPr>
            </w:pPr>
          </w:p>
        </w:tc>
      </w:tr>
      <w:tr>
        <w:trPr>
          <w:trHeight w:val="19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Organic Revenue Growth</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7"/>
              </w:rPr>
              <w:t>25.3 %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7"/>
              </w:rPr>
              <w:t>32.5 %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7"/>
              </w:rPr>
              <w:t>24.4 %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6.2 %</w:t>
            </w:r>
          </w:p>
        </w:tc>
        <w:tc>
          <w:tcPr>
            <w:tcW w:w="1200" w:type="dxa"/>
            <w:vAlign w:val="bottom"/>
            <w:shd w:val="clear" w:color="auto" w:fill="CCEEFF"/>
          </w:tcPr>
          <w:p>
            <w:pPr>
              <w:spacing w:after="0"/>
              <w:rPr>
                <w:sz w:val="17"/>
                <w:szCs w:val="17"/>
                <w:color w:val="auto"/>
              </w:rPr>
            </w:pPr>
          </w:p>
        </w:tc>
      </w:tr>
      <w:tr>
        <w:trPr>
          <w:trHeight w:val="183"/>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tcPr>
          <w:p>
            <w:pPr>
              <w:spacing w:after="0"/>
              <w:rPr>
                <w:sz w:val="15"/>
                <w:szCs w:val="15"/>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(39.0)</w:t>
            </w:r>
          </w:p>
        </w:tc>
        <w:tc>
          <w:tcPr>
            <w:tcW w:w="1200" w:type="dxa"/>
            <w:vAlign w:val="bottom"/>
          </w:tcPr>
          <w:p>
            <w:pPr>
              <w:spacing w:after="0"/>
              <w:rPr>
                <w:sz w:val="15"/>
                <w:szCs w:val="15"/>
                <w:color w:val="auto"/>
              </w:rPr>
            </w:pPr>
          </w:p>
        </w:tc>
      </w:tr>
      <w:tr>
        <w:trPr>
          <w:trHeight w:val="19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EBITDA</w:t>
            </w:r>
            <w:r>
              <w:rPr>
                <w:rFonts w:ascii="Times New Roman" w:cs="Times New Roman" w:eastAsia="Times New Roman" w:hAnsi="Times New Roman"/>
                <w:sz w:val="16"/>
                <w:szCs w:val="16"/>
                <w:color w:val="auto"/>
                <w:vertAlign w:val="superscript"/>
              </w:rPr>
              <w:t>(1)</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31.5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35.4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38.6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45.4</w:t>
            </w:r>
          </w:p>
        </w:tc>
        <w:tc>
          <w:tcPr>
            <w:tcW w:w="1200" w:type="dxa"/>
            <w:vAlign w:val="bottom"/>
            <w:shd w:val="clear" w:color="auto" w:fill="CCEEFF"/>
          </w:tcPr>
          <w:p>
            <w:pPr>
              <w:spacing w:after="0"/>
              <w:rPr>
                <w:sz w:val="17"/>
                <w:szCs w:val="17"/>
                <w:color w:val="auto"/>
              </w:rPr>
            </w:pPr>
          </w:p>
        </w:tc>
      </w:tr>
      <w:tr>
        <w:trPr>
          <w:trHeight w:val="183"/>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margin</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9"/>
              </w:rPr>
              <w:t>(13.8)%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ind w:left="300"/>
              <w:spacing w:after="0"/>
              <w:rPr>
                <w:sz w:val="20"/>
                <w:szCs w:val="20"/>
                <w:color w:val="auto"/>
              </w:rPr>
            </w:pPr>
            <w:r>
              <w:rPr>
                <w:rFonts w:ascii="Times New Roman" w:cs="Times New Roman" w:eastAsia="Times New Roman" w:hAnsi="Times New Roman"/>
                <w:sz w:val="13"/>
                <w:szCs w:val="13"/>
                <w:color w:val="auto"/>
                <w:w w:val="99"/>
              </w:rPr>
              <w:t>(10.6)%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9"/>
              </w:rPr>
              <w:t>(16.0)%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w w:val="98"/>
              </w:rPr>
              <w:t>(20.9)%</w:t>
            </w:r>
          </w:p>
        </w:tc>
        <w:tc>
          <w:tcPr>
            <w:tcW w:w="1200" w:type="dxa"/>
            <w:vAlign w:val="bottom"/>
          </w:tcPr>
          <w:p>
            <w:pPr>
              <w:spacing w:after="0"/>
              <w:rPr>
                <w:sz w:val="15"/>
                <w:szCs w:val="15"/>
                <w:color w:val="auto"/>
              </w:rPr>
            </w:pPr>
          </w:p>
        </w:tc>
      </w:tr>
      <w:tr>
        <w:trPr>
          <w:trHeight w:val="19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EBITDA margin</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24.3 %</w:t>
            </w:r>
          </w:p>
        </w:tc>
        <w:tc>
          <w:tcPr>
            <w:tcW w:w="1200" w:type="dxa"/>
            <w:vAlign w:val="bottom"/>
            <w:shd w:val="clear" w:color="auto" w:fill="CCEEFF"/>
          </w:tcPr>
          <w:p>
            <w:pPr>
              <w:spacing w:after="0"/>
              <w:rPr>
                <w:sz w:val="17"/>
                <w:szCs w:val="17"/>
                <w:color w:val="auto"/>
              </w:rPr>
            </w:pPr>
          </w:p>
        </w:tc>
      </w:tr>
      <w:tr>
        <w:trPr>
          <w:trHeight w:val="176"/>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Top 10 clients as % of total revenue</w:t>
            </w:r>
          </w:p>
        </w:tc>
        <w:tc>
          <w:tcPr>
            <w:tcW w:w="180" w:type="dxa"/>
            <w:vAlign w:val="bottom"/>
          </w:tcPr>
          <w:p>
            <w:pPr>
              <w:spacing w:after="0"/>
              <w:rPr>
                <w:sz w:val="15"/>
                <w:szCs w:val="15"/>
                <w:color w:val="auto"/>
              </w:rPr>
            </w:pPr>
          </w:p>
        </w:tc>
        <w:tc>
          <w:tcPr>
            <w:tcW w:w="66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7"/>
              </w:rPr>
              <w:t>25.9 %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7"/>
              </w:rPr>
              <w:t>17.9 %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7"/>
              </w:rPr>
              <w:t>14.7 %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9.2 %</w:t>
            </w:r>
          </w:p>
        </w:tc>
        <w:tc>
          <w:tcPr>
            <w:tcW w:w="1200" w:type="dxa"/>
            <w:vAlign w:val="bottom"/>
          </w:tcPr>
          <w:p>
            <w:pPr>
              <w:spacing w:after="0"/>
              <w:rPr>
                <w:sz w:val="15"/>
                <w:szCs w:val="15"/>
                <w:color w:val="auto"/>
              </w:rPr>
            </w:pPr>
          </w:p>
        </w:tc>
      </w:tr>
    </w:tbl>
    <w:p>
      <w:pPr>
        <w:spacing w:after="0" w:line="161" w:lineRule="exact"/>
        <w:rPr>
          <w:sz w:val="20"/>
          <w:szCs w:val="20"/>
          <w:color w:val="auto"/>
        </w:rPr>
      </w:pPr>
    </w:p>
    <w:p>
      <w:pPr>
        <w:ind w:left="260" w:hanging="255"/>
        <w:spacing w:after="0"/>
        <w:tabs>
          <w:tab w:leader="none" w:pos="26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9"/>
          <w:szCs w:val="9"/>
          <w:color w:val="auto"/>
        </w:rPr>
        <w:t>We have presented Adjusted EBITDA from 2022 onwards only as, prior to 2022, we were formed as a partnership with profits being distributed to the partners.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sets out the non-GAAP financial measures used by our management together, in each case, with the nearest comparable measure under GAAP.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8"/>
          </w:tcPr>
          <w:p>
            <w:pPr>
              <w:ind w:left="200"/>
              <w:spacing w:after="0"/>
              <w:rPr>
                <w:sz w:val="20"/>
                <w:szCs w:val="20"/>
                <w:color w:val="auto"/>
              </w:rPr>
            </w:pPr>
            <w:r>
              <w:rPr>
                <w:rFonts w:ascii="Times New Roman" w:cs="Times New Roman" w:eastAsia="Times New Roman" w:hAnsi="Times New Roman"/>
                <w:sz w:val="13"/>
                <w:szCs w:val="13"/>
                <w:b w:val="1"/>
                <w:bCs w:val="1"/>
                <w:color w:val="auto"/>
              </w:rPr>
              <w:t>As reported for the years ended December 31,</w:t>
            </w:r>
          </w:p>
        </w:tc>
        <w:tc>
          <w:tcPr>
            <w:tcW w:w="1180" w:type="dxa"/>
            <w:vAlign w:val="bottom"/>
            <w:tcBorders>
              <w:bottom w:val="single" w:sz="8" w:color="auto"/>
            </w:tcBorders>
          </w:tcPr>
          <w:p>
            <w:pPr>
              <w:spacing w:after="0"/>
              <w:rPr>
                <w:sz w:val="15"/>
                <w:szCs w:val="15"/>
                <w:color w:val="auto"/>
              </w:rPr>
            </w:pPr>
          </w:p>
        </w:tc>
      </w:tr>
      <w:tr>
        <w:trPr>
          <w:trHeight w:val="182"/>
        </w:trPr>
        <w:tc>
          <w:tcPr>
            <w:tcW w:w="53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w w:val="95"/>
              </w:rPr>
              <w:t>Change</w:t>
            </w: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rPr>
              <w:t>% Change</w:t>
            </w:r>
          </w:p>
        </w:tc>
      </w:tr>
      <w:tr>
        <w:trPr>
          <w:trHeight w:val="18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186.5</w:t>
            </w:r>
          </w:p>
        </w:tc>
        <w:tc>
          <w:tcPr>
            <w:tcW w:w="1220" w:type="dxa"/>
            <w:vAlign w:val="bottom"/>
            <w:gridSpan w:val="2"/>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149.6</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37.0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24.7 %</w:t>
            </w:r>
          </w:p>
        </w:tc>
      </w:tr>
      <w:tr>
        <w:trPr>
          <w:trHeight w:val="183"/>
        </w:trPr>
        <w:tc>
          <w:tcPr>
            <w:tcW w:w="5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(39.0)</w:t>
            </w:r>
          </w:p>
        </w:tc>
        <w:tc>
          <w:tcPr>
            <w:tcW w:w="1220" w:type="dxa"/>
            <w:vAlign w:val="bottom"/>
            <w:gridSpan w:val="2"/>
          </w:tcPr>
          <w:p>
            <w:pPr>
              <w:jc w:val="right"/>
              <w:ind w:right="81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tcPr>
          <w:p>
            <w:pPr>
              <w:spacing w:after="0"/>
              <w:rPr>
                <w:sz w:val="15"/>
                <w:szCs w:val="15"/>
                <w:color w:val="auto"/>
              </w:rPr>
            </w:pPr>
          </w:p>
        </w:tc>
        <w:tc>
          <w:tcPr>
            <w:tcW w:w="48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w:t>
            </w:r>
          </w:p>
        </w:tc>
      </w:tr>
      <w:tr>
        <w:trPr>
          <w:trHeight w:val="19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margin</w:t>
            </w:r>
          </w:p>
        </w:tc>
        <w:tc>
          <w:tcPr>
            <w:tcW w:w="9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(20.9%)</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(4.9)pts</w:t>
            </w:r>
          </w:p>
        </w:tc>
        <w:tc>
          <w:tcPr>
            <w:tcW w:w="1180" w:type="dxa"/>
            <w:vAlign w:val="bottom"/>
            <w:shd w:val="clear" w:color="auto" w:fill="CCEEFF"/>
          </w:tcPr>
          <w:p>
            <w:pPr>
              <w:spacing w:after="0"/>
              <w:rPr>
                <w:sz w:val="17"/>
                <w:szCs w:val="17"/>
                <w:color w:val="auto"/>
              </w:rPr>
            </w:pPr>
          </w:p>
        </w:tc>
      </w:tr>
      <w:tr>
        <w:trPr>
          <w:trHeight w:val="183"/>
        </w:trPr>
        <w:tc>
          <w:tcPr>
            <w:tcW w:w="5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EBITDA</w:t>
            </w: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45.4</w:t>
            </w:r>
          </w:p>
        </w:tc>
        <w:tc>
          <w:tcPr>
            <w:tcW w:w="160" w:type="dxa"/>
            <w:vAlign w:val="bottom"/>
          </w:tcPr>
          <w:p>
            <w:pPr>
              <w:spacing w:after="0"/>
              <w:rPr>
                <w:sz w:val="15"/>
                <w:szCs w:val="15"/>
                <w:color w:val="auto"/>
              </w:rPr>
            </w:pPr>
          </w:p>
        </w:tc>
        <w:tc>
          <w:tcPr>
            <w:tcW w:w="1220" w:type="dxa"/>
            <w:vAlign w:val="bottom"/>
            <w:gridSpan w:val="2"/>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38.6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17.7 %</w:t>
            </w:r>
          </w:p>
        </w:tc>
      </w:tr>
      <w:tr>
        <w:trPr>
          <w:trHeight w:val="19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EBITDA margin</w:t>
            </w: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(1.5)pts</w:t>
            </w:r>
          </w:p>
        </w:tc>
        <w:tc>
          <w:tcPr>
            <w:tcW w:w="1180" w:type="dxa"/>
            <w:vAlign w:val="bottom"/>
            <w:shd w:val="clear" w:color="auto" w:fill="CCEEFF"/>
          </w:tcPr>
          <w:p>
            <w:pPr>
              <w:spacing w:after="0"/>
              <w:rPr>
                <w:sz w:val="17"/>
                <w:szCs w:val="17"/>
                <w:color w:val="auto"/>
              </w:rPr>
            </w:pPr>
          </w:p>
        </w:tc>
      </w:tr>
      <w:tr>
        <w:trPr>
          <w:trHeight w:val="183"/>
        </w:trPr>
        <w:tc>
          <w:tcPr>
            <w:tcW w:w="5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Net Income</w:t>
            </w: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36.6</w:t>
            </w:r>
          </w:p>
        </w:tc>
        <w:tc>
          <w:tcPr>
            <w:tcW w:w="160" w:type="dxa"/>
            <w:vAlign w:val="bottom"/>
          </w:tcPr>
          <w:p>
            <w:pPr>
              <w:spacing w:after="0"/>
              <w:rPr>
                <w:sz w:val="15"/>
                <w:szCs w:val="15"/>
                <w:color w:val="auto"/>
              </w:rPr>
            </w:pPr>
          </w:p>
        </w:tc>
        <w:tc>
          <w:tcPr>
            <w:tcW w:w="1220" w:type="dxa"/>
            <w:vAlign w:val="bottom"/>
            <w:gridSpan w:val="2"/>
          </w:tcPr>
          <w:p>
            <w:pPr>
              <w:jc w:val="right"/>
              <w:ind w:right="816"/>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32.1 %</w:t>
            </w:r>
          </w:p>
        </w:tc>
      </w:tr>
      <w:tr>
        <w:trPr>
          <w:trHeight w:val="19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per share, basic and diluted</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(2.37)</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(0.03)</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83"/>
        </w:trPr>
        <w:tc>
          <w:tcPr>
            <w:tcW w:w="5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EPS, diluted</w:t>
            </w: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1.39</w:t>
            </w:r>
          </w:p>
        </w:tc>
        <w:tc>
          <w:tcPr>
            <w:tcW w:w="160" w:type="dxa"/>
            <w:vAlign w:val="bottom"/>
          </w:tcPr>
          <w:p>
            <w:pPr>
              <w:spacing w:after="0"/>
              <w:rPr>
                <w:sz w:val="15"/>
                <w:szCs w:val="15"/>
                <w:color w:val="auto"/>
              </w:rPr>
            </w:pPr>
          </w:p>
        </w:tc>
        <w:tc>
          <w:tcPr>
            <w:tcW w:w="1220" w:type="dxa"/>
            <w:vAlign w:val="bottom"/>
            <w:gridSpan w:val="2"/>
          </w:tcPr>
          <w:p>
            <w:pPr>
              <w:jc w:val="right"/>
              <w:ind w:right="816"/>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0.27</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24.7 %</w:t>
            </w:r>
          </w:p>
        </w:tc>
      </w:tr>
      <w:tr>
        <w:trPr>
          <w:trHeight w:val="19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 per share</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0.344</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0.702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(0.358)</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83"/>
        </w:trPr>
        <w:tc>
          <w:tcPr>
            <w:tcW w:w="5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24.8</w:t>
            </w:r>
          </w:p>
        </w:tc>
        <w:tc>
          <w:tcPr>
            <w:tcW w:w="160" w:type="dxa"/>
            <w:vAlign w:val="bottom"/>
          </w:tcPr>
          <w:p>
            <w:pPr>
              <w:spacing w:after="0"/>
              <w:rPr>
                <w:sz w:val="15"/>
                <w:szCs w:val="15"/>
                <w:color w:val="auto"/>
              </w:rPr>
            </w:pPr>
          </w:p>
        </w:tc>
        <w:tc>
          <w:tcPr>
            <w:tcW w:w="1220" w:type="dxa"/>
            <w:vAlign w:val="bottom"/>
            <w:gridSpan w:val="2"/>
          </w:tcPr>
          <w:p>
            <w:pPr>
              <w:jc w:val="right"/>
              <w:ind w:right="816"/>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51.0 %</w:t>
            </w:r>
          </w:p>
        </w:tc>
      </w:tr>
      <w:tr>
        <w:trPr>
          <w:trHeight w:val="19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Free Cash Flow</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36.9</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66.1 %</w:t>
            </w:r>
          </w:p>
        </w:tc>
      </w:tr>
      <w:tr>
        <w:trPr>
          <w:trHeight w:val="183"/>
        </w:trPr>
        <w:tc>
          <w:tcPr>
            <w:tcW w:w="5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end of period</w:t>
            </w: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20.4</w:t>
            </w:r>
          </w:p>
        </w:tc>
        <w:tc>
          <w:tcPr>
            <w:tcW w:w="160" w:type="dxa"/>
            <w:vAlign w:val="bottom"/>
          </w:tcPr>
          <w:p>
            <w:pPr>
              <w:spacing w:after="0"/>
              <w:rPr>
                <w:sz w:val="15"/>
                <w:szCs w:val="15"/>
                <w:color w:val="auto"/>
              </w:rPr>
            </w:pPr>
          </w:p>
        </w:tc>
        <w:tc>
          <w:tcPr>
            <w:tcW w:w="1220" w:type="dxa"/>
            <w:vAlign w:val="bottom"/>
            <w:gridSpan w:val="2"/>
          </w:tcPr>
          <w:p>
            <w:pPr>
              <w:jc w:val="right"/>
              <w:ind w:right="816"/>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Debt at end of period</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(26.6)</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Reconciliation of net loss and net loss margin to Adjusted EBITDA and Adjusted EBITDA margin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1120" w:type="dxa"/>
            <w:vAlign w:val="bottom"/>
            <w:tcBorders>
              <w:bottom w:val="single" w:sz="8" w:color="auto"/>
            </w:tcBorders>
          </w:tcPr>
          <w:p>
            <w:pPr>
              <w:spacing w:after="0"/>
              <w:rPr>
                <w:sz w:val="15"/>
                <w:szCs w:val="15"/>
                <w:color w:val="auto"/>
              </w:rPr>
            </w:pPr>
          </w:p>
        </w:tc>
      </w:tr>
      <w:tr>
        <w:trPr>
          <w:trHeight w:val="182"/>
        </w:trPr>
        <w:tc>
          <w:tcPr>
            <w:tcW w:w="60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rPr>
              <w:t>$ Change</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rPr>
              <w:t>% Change</w:t>
            </w:r>
          </w:p>
        </w:tc>
      </w:tr>
      <w:tr>
        <w:trPr>
          <w:trHeight w:val="18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(39.0)</w:t>
            </w:r>
          </w:p>
        </w:tc>
        <w:tc>
          <w:tcPr>
            <w:tcW w:w="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38.6 %</w:t>
            </w:r>
          </w:p>
        </w:tc>
      </w:tr>
      <w:tr>
        <w:trPr>
          <w:trHeight w:val="183"/>
        </w:trPr>
        <w:tc>
          <w:tcPr>
            <w:tcW w:w="6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 margin</w:t>
            </w:r>
          </w:p>
        </w:tc>
        <w:tc>
          <w:tcPr>
            <w:tcW w:w="2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3"/>
                <w:szCs w:val="13"/>
                <w:i w:val="1"/>
                <w:iCs w:val="1"/>
                <w:color w:val="auto"/>
              </w:rPr>
              <w:t>(4.9)pts</w:t>
            </w:r>
          </w:p>
        </w:tc>
        <w:tc>
          <w:tcPr>
            <w:tcW w:w="1120" w:type="dxa"/>
            <w:vAlign w:val="bottom"/>
          </w:tcPr>
          <w:p>
            <w:pPr>
              <w:spacing w:after="0"/>
              <w:rPr>
                <w:sz w:val="15"/>
                <w:szCs w:val="15"/>
                <w:color w:val="auto"/>
              </w:rPr>
            </w:pPr>
          </w:p>
        </w:tc>
      </w:tr>
      <w:tr>
        <w:trPr>
          <w:trHeight w:val="19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Adjustments:</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3"/>
        </w:trPr>
        <w:tc>
          <w:tcPr>
            <w:tcW w:w="6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income</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(118.3)%</w:t>
            </w:r>
          </w:p>
        </w:tc>
      </w:tr>
      <w:tr>
        <w:trPr>
          <w:trHeight w:val="19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44.1 %</w:t>
            </w:r>
          </w:p>
        </w:tc>
      </w:tr>
      <w:tr>
        <w:trPr>
          <w:trHeight w:val="183"/>
        </w:trPr>
        <w:tc>
          <w:tcPr>
            <w:tcW w:w="6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 expense</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w:t>
            </w:r>
          </w:p>
        </w:tc>
      </w:tr>
      <w:tr>
        <w:trPr>
          <w:trHeight w:val="19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 on impairment of intangible assets</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6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 on impairment of goodwill</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9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5"/>
                <w:szCs w:val="15"/>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expense</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6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6.2</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22.9 %</w:t>
            </w:r>
          </w:p>
        </w:tc>
      </w:tr>
      <w:tr>
        <w:trPr>
          <w:trHeight w:val="18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EBITDA</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r>
      <w:tr>
        <w:trPr>
          <w:trHeight w:val="183"/>
        </w:trPr>
        <w:tc>
          <w:tcPr>
            <w:tcW w:w="6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Long-term incentive program charges</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41.3 %</w:t>
            </w:r>
          </w:p>
        </w:tc>
      </w:tr>
      <w:tr>
        <w:trPr>
          <w:trHeight w:val="19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Share-based accounting charge</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83"/>
        </w:trPr>
        <w:tc>
          <w:tcPr>
            <w:tcW w:w="6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Post-combination compensation charge</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45.5 %</w:t>
            </w:r>
          </w:p>
        </w:tc>
      </w:tr>
      <w:tr>
        <w:trPr>
          <w:trHeight w:val="19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fair value of contingent consideration</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62.9 %</w:t>
            </w:r>
          </w:p>
        </w:tc>
      </w:tr>
      <w:tr>
        <w:trPr>
          <w:trHeight w:val="183"/>
        </w:trPr>
        <w:tc>
          <w:tcPr>
            <w:tcW w:w="6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Gain on bargain purchase, net of deferred taxes</w:t>
            </w: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w:t>
            </w:r>
          </w:p>
        </w:tc>
      </w:tr>
      <w:tr>
        <w:trPr>
          <w:trHeight w:val="182"/>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EBITDA incl. M&amp;A expenses</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44.5</w:t>
            </w:r>
          </w:p>
        </w:tc>
        <w:tc>
          <w:tcPr>
            <w:tcW w:w="480" w:type="dxa"/>
            <w:vAlign w:val="bottom"/>
            <w:tcBorders>
              <w:bottom w:val="single" w:sz="8" w:color="auto"/>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36.1</w:t>
            </w: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18.9 %</w:t>
            </w:r>
          </w:p>
        </w:tc>
      </w:tr>
      <w:tr>
        <w:trPr>
          <w:trHeight w:val="182"/>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M&amp;A Expenses</w:t>
            </w: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(190.9)%</w:t>
            </w:r>
          </w:p>
        </w:tc>
      </w:tr>
      <w:tr>
        <w:trPr>
          <w:trHeight w:val="182"/>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EBITDA</w:t>
            </w:r>
          </w:p>
        </w:tc>
        <w:tc>
          <w:tcPr>
            <w:tcW w:w="2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1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38.6</w:t>
            </w: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15.0 %</w:t>
            </w:r>
          </w:p>
        </w:tc>
      </w:tr>
      <w:tr>
        <w:trPr>
          <w:trHeight w:val="182"/>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Adjusted EBITDA Margin</w:t>
            </w: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25.8 %</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3"/>
                <w:szCs w:val="13"/>
                <w:i w:val="1"/>
                <w:iCs w:val="1"/>
                <w:color w:val="auto"/>
              </w:rPr>
              <w:t>(1.5)pts</w:t>
            </w:r>
          </w:p>
        </w:tc>
        <w:tc>
          <w:tcPr>
            <w:tcW w:w="1120" w:type="dxa"/>
            <w:vAlign w:val="bottom"/>
            <w:tcBorders>
              <w:bottom w:val="single" w:sz="8" w:color="auto"/>
            </w:tcBorders>
          </w:tcPr>
          <w:p>
            <w:pPr>
              <w:spacing w:after="0"/>
              <w:rPr>
                <w:sz w:val="15"/>
                <w:szCs w:val="15"/>
                <w:color w:val="auto"/>
              </w:rPr>
            </w:pPr>
          </w:p>
        </w:tc>
      </w:tr>
    </w:tbl>
    <w:p>
      <w:pPr>
        <w:spacing w:after="0" w:line="18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Long-term incentive program charges </w:t>
      </w:r>
      <w:r>
        <w:rPr>
          <w:rFonts w:ascii="Times New Roman" w:cs="Times New Roman" w:eastAsia="Times New Roman" w:hAnsi="Times New Roman"/>
          <w:sz w:val="14"/>
          <w:szCs w:val="14"/>
          <w:color w:val="auto"/>
        </w:rPr>
        <w:t>relate to the Omnibus Incentive Plan under which options, stock appreciation rights, restricted stock units and restricted stock awards have been granted.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amortization of the fair value of share-based awards is recorded as an expense in the statement of operations with a portion recorded to salaries and other personnel costs within cost of services and a portion recorded to general and administrative costs.</w:t>
      </w:r>
    </w:p>
    <w:p>
      <w:pPr>
        <w:spacing w:after="0" w:line="9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Share-based accounting </w:t>
      </w:r>
      <w:r>
        <w:rPr>
          <w:rFonts w:ascii="Times New Roman" w:cs="Times New Roman" w:eastAsia="Times New Roman" w:hAnsi="Times New Roman"/>
          <w:sz w:val="14"/>
          <w:szCs w:val="14"/>
          <w:color w:val="auto"/>
        </w:rPr>
        <w:t>charges relate to the Pre-UK IPO shares retained by our executives at the time of the London Stock Exchange IPO in 2021, governed by their new Executive Employment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Agreements entered into in 2021. Under these new Employment Agreements, the retained shares were made subject to a new vesting arrangement, and will vest in equal installments over five years, provided the executive remains employed. We record a share-based accounting charge for each vesting period, with the final charge to be recorded in the year ending December 31, 2026. The expense is recorded to cost of services or general and administrative expense depending on the role of the executive. These charges are distinct from normal personnel costs because these charges are uniquely tied to the vesting agreements at the time of the UK IPO, and do not represent a cash outflow of the Company.</w:t>
      </w:r>
    </w:p>
    <w:p>
      <w:pPr>
        <w:spacing w:after="0" w:line="9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Post-combination expense </w:t>
      </w:r>
      <w:r>
        <w:rPr>
          <w:rFonts w:ascii="Times New Roman" w:cs="Times New Roman" w:eastAsia="Times New Roman" w:hAnsi="Times New Roman"/>
          <w:sz w:val="14"/>
          <w:szCs w:val="14"/>
          <w:color w:val="auto"/>
        </w:rPr>
        <w:t>arises from certain acquisitions that have been completed since the UK IPO. In order to protect the interests of the Company, to a certain extent the cash and shares paid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payable as part of these transactions are made subject to vesting schedules that require continued employment. The addition of these provisions to purchase price paid and payable for an acquired business creates a post-combination compensation charge in accordance with accounting guidance under GAAP (ASC 805-10-55-25 - </w:t>
      </w:r>
      <w:r>
        <w:rPr>
          <w:rFonts w:ascii="Times New Roman" w:cs="Times New Roman" w:eastAsia="Times New Roman" w:hAnsi="Times New Roman"/>
          <w:sz w:val="14"/>
          <w:szCs w:val="14"/>
          <w:i w:val="1"/>
          <w:iCs w:val="1"/>
          <w:color w:val="auto"/>
        </w:rPr>
        <w:t>Business Combinations - Arrangements for Contingent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Payments to Employees or Selling Shareholders</w:t>
      </w:r>
      <w:r>
        <w:rPr>
          <w:rFonts w:ascii="Times New Roman" w:cs="Times New Roman" w:eastAsia="Times New Roman" w:hAnsi="Times New Roman"/>
          <w:sz w:val="14"/>
          <w:szCs w:val="14"/>
          <w:color w:val="auto"/>
        </w:rPr>
        <w:t>). These charges are distinct from normal personnel costs because (i) these payments are directly tied to the acquisition of the respective company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prescribed within such purchase agreements (ii) these payments are incremental to the market rate compensation packages afforded to the same recipients (iii) the post-combination compensation is limited in time to the earnout period agreed at the point of acquisition of a company, and will no longer be an expense after the expiration of that earnout.</w:t>
      </w:r>
    </w:p>
    <w:p>
      <w:pPr>
        <w:spacing w:after="0" w:line="99" w:lineRule="exact"/>
        <w:rPr>
          <w:sz w:val="20"/>
          <w:szCs w:val="20"/>
          <w:color w:val="auto"/>
        </w:rPr>
      </w:pPr>
    </w:p>
    <w:p>
      <w:pPr>
        <w:jc w:val="both"/>
        <w:ind w:right="20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Change in fair value of contingent consideration </w:t>
      </w:r>
      <w:r>
        <w:rPr>
          <w:rFonts w:ascii="Times New Roman" w:cs="Times New Roman" w:eastAsia="Times New Roman" w:hAnsi="Times New Roman"/>
          <w:sz w:val="14"/>
          <w:szCs w:val="14"/>
          <w:color w:val="auto"/>
        </w:rPr>
        <w:t>arises from the remeasurement of contingent consideration relating to the business acquisitions of the Company. We exclude these costs, or gains,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from calculating non-GAAP measures because (i) they are based upon valuation methodologies and assumptions that vary over time and are outside of our control and (ii) they are unrelated to our core operating performance.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Gain on bargain purchase, net of deferred taxes </w:t>
      </w:r>
      <w:r>
        <w:rPr>
          <w:rFonts w:ascii="Times New Roman" w:cs="Times New Roman" w:eastAsia="Times New Roman" w:hAnsi="Times New Roman"/>
          <w:sz w:val="14"/>
          <w:szCs w:val="14"/>
          <w:color w:val="auto"/>
        </w:rPr>
        <w:t>as a non-cash gain, have been excluded from the calculation of non-GAAP measures.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M&amp;A costs </w:t>
      </w:r>
      <w:r>
        <w:rPr>
          <w:rFonts w:ascii="Times New Roman" w:cs="Times New Roman" w:eastAsia="Times New Roman" w:hAnsi="Times New Roman"/>
          <w:sz w:val="14"/>
          <w:szCs w:val="14"/>
          <w:color w:val="auto"/>
        </w:rPr>
        <w:t>are comprised of costs incurred around the time of a business combination transaction, such as legal and professional fees, debt origination costs, and transaction-related taxes, directly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incurred as a result of acquisitions. The exclusion of merger and acquisition-related costs provides investors with a clearer understanding of our core operating performance, as these costs are unrelated to our efforts to serve our clients and can vary significantly from period-to-period depending on the timing, size, and complexity of transactions, which can distort comparability of financial results over time.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EPS and Adjusted EPS, fully diluted for the years ended December 31, 2025 and 2024,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60" w:type="dxa"/>
            <w:vAlign w:val="bottom"/>
            <w:gridSpan w:val="6"/>
          </w:tcPr>
          <w:p>
            <w:pPr>
              <w:ind w:left="56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1"/>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8"/>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2"/>
        </w:trPr>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23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GAAP</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Adjustments</w:t>
            </w:r>
            <w:r>
              <w:rPr>
                <w:rFonts w:ascii="Times New Roman" w:cs="Times New Roman" w:eastAsia="Times New Roman" w:hAnsi="Times New Roman"/>
                <w:sz w:val="15"/>
                <w:szCs w:val="15"/>
                <w:b w:val="1"/>
                <w:bCs w:val="1"/>
                <w:color w:val="auto"/>
                <w:vertAlign w:val="superscript"/>
              </w:rPr>
              <w:t>(1)</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Non-GAAP</w:t>
            </w: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GAAP</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Non-GAAP</w:t>
            </w:r>
          </w:p>
        </w:tc>
      </w:tr>
      <w:tr>
        <w:trPr>
          <w:trHeight w:val="162"/>
        </w:trPr>
        <w:tc>
          <w:tcPr>
            <w:tcW w:w="20" w:type="dxa"/>
            <w:vAlign w:val="bottom"/>
            <w:tcBorders>
              <w:bottom w:val="single" w:sz="8" w:color="CCEEFF"/>
            </w:tcBorders>
            <w:shd w:val="clear" w:color="auto" w:fill="CCEEFF"/>
          </w:tcPr>
          <w:p>
            <w:pPr>
              <w:spacing w:after="0"/>
              <w:rPr>
                <w:sz w:val="14"/>
                <w:szCs w:val="14"/>
                <w:color w:val="auto"/>
              </w:rPr>
            </w:pPr>
          </w:p>
        </w:tc>
        <w:tc>
          <w:tcPr>
            <w:tcW w:w="3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and Adjusted Net Income</w:t>
            </w:r>
          </w:p>
        </w:tc>
        <w:tc>
          <w:tcPr>
            <w:tcW w:w="26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(39.0)</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75.6</w:t>
            </w:r>
          </w:p>
        </w:tc>
        <w:tc>
          <w:tcPr>
            <w:tcW w:w="1000" w:type="dxa"/>
            <w:vAlign w:val="bottom"/>
            <w:tcBorders>
              <w:bottom w:val="single" w:sz="8" w:color="CCEEFF"/>
            </w:tcBorders>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36.6</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w:t>
            </w:r>
          </w:p>
        </w:tc>
      </w:tr>
      <w:tr>
        <w:trPr>
          <w:trHeight w:val="138"/>
        </w:trPr>
        <w:tc>
          <w:tcPr>
            <w:tcW w:w="20" w:type="dxa"/>
            <w:vAlign w:val="bottom"/>
          </w:tcPr>
          <w:p>
            <w:pPr>
              <w:spacing w:after="0"/>
              <w:rPr>
                <w:sz w:val="11"/>
                <w:szCs w:val="11"/>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Adjustments to Net Income</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33"/>
        </w:trPr>
        <w:tc>
          <w:tcPr>
            <w:tcW w:w="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1"/>
        </w:trPr>
        <w:tc>
          <w:tcPr>
            <w:tcW w:w="20" w:type="dxa"/>
            <w:vAlign w:val="bottom"/>
            <w:tcBorders>
              <w:bottom w:val="single" w:sz="8" w:color="CCEEFF"/>
            </w:tcBorders>
            <w:shd w:val="clear" w:color="auto" w:fill="CCEEFF"/>
          </w:tcPr>
          <w:p>
            <w:pPr>
              <w:spacing w:after="0"/>
              <w:rPr>
                <w:sz w:val="14"/>
                <w:szCs w:val="14"/>
                <w:color w:val="auto"/>
              </w:rPr>
            </w:pPr>
          </w:p>
        </w:tc>
        <w:tc>
          <w:tcPr>
            <w:tcW w:w="3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2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6.0</w:t>
            </w: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Share-based accounting charge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29.6</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1"/>
        </w:trPr>
        <w:tc>
          <w:tcPr>
            <w:tcW w:w="20" w:type="dxa"/>
            <w:vAlign w:val="bottom"/>
            <w:tcBorders>
              <w:bottom w:val="single" w:sz="8" w:color="CCEEFF"/>
            </w:tcBorders>
            <w:shd w:val="clear" w:color="auto" w:fill="CCEEFF"/>
          </w:tcPr>
          <w:p>
            <w:pPr>
              <w:spacing w:after="0"/>
              <w:rPr>
                <w:sz w:val="14"/>
                <w:szCs w:val="14"/>
                <w:color w:val="auto"/>
              </w:rPr>
            </w:pPr>
          </w:p>
        </w:tc>
        <w:tc>
          <w:tcPr>
            <w:tcW w:w="3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Post-combination compensation charge</w:t>
            </w:r>
          </w:p>
        </w:tc>
        <w:tc>
          <w:tcPr>
            <w:tcW w:w="2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21.3</w:t>
            </w: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5.1</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1"/>
        </w:trPr>
        <w:tc>
          <w:tcPr>
            <w:tcW w:w="20" w:type="dxa"/>
            <w:vAlign w:val="bottom"/>
            <w:tcBorders>
              <w:bottom w:val="single" w:sz="8" w:color="CCEEFF"/>
            </w:tcBorders>
            <w:shd w:val="clear" w:color="auto" w:fill="CCEEFF"/>
          </w:tcPr>
          <w:p>
            <w:pPr>
              <w:spacing w:after="0"/>
              <w:rPr>
                <w:sz w:val="14"/>
                <w:szCs w:val="14"/>
                <w:color w:val="auto"/>
              </w:rPr>
            </w:pPr>
          </w:p>
        </w:tc>
        <w:tc>
          <w:tcPr>
            <w:tcW w:w="3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incentive program expense</w:t>
            </w:r>
          </w:p>
        </w:tc>
        <w:tc>
          <w:tcPr>
            <w:tcW w:w="2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7.1</w:t>
            </w: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Gain on bargain purchase price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1"/>
        </w:trPr>
        <w:tc>
          <w:tcPr>
            <w:tcW w:w="20" w:type="dxa"/>
            <w:vAlign w:val="bottom"/>
            <w:tcBorders>
              <w:bottom w:val="single" w:sz="8" w:color="CCEEFF"/>
            </w:tcBorders>
            <w:shd w:val="clear" w:color="auto" w:fill="CCEEFF"/>
          </w:tcPr>
          <w:p>
            <w:pPr>
              <w:spacing w:after="0"/>
              <w:rPr>
                <w:sz w:val="14"/>
                <w:szCs w:val="14"/>
                <w:color w:val="auto"/>
              </w:rPr>
            </w:pPr>
          </w:p>
        </w:tc>
        <w:tc>
          <w:tcPr>
            <w:tcW w:w="3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Loss on impairment of intangible assets</w:t>
            </w:r>
          </w:p>
        </w:tc>
        <w:tc>
          <w:tcPr>
            <w:tcW w:w="2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2.9</w:t>
            </w: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Loss on impairment of goodwill</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6.2</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3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54"/>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75.6</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8"/>
        </w:trPr>
        <w:tc>
          <w:tcPr>
            <w:tcW w:w="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1"/>
        </w:trPr>
        <w:tc>
          <w:tcPr>
            <w:tcW w:w="20" w:type="dxa"/>
            <w:vAlign w:val="bottom"/>
            <w:tcBorders>
              <w:bottom w:val="single" w:sz="8" w:color="CCEEFF"/>
            </w:tcBorders>
            <w:shd w:val="clear" w:color="auto" w:fill="CCEEFF"/>
          </w:tcPr>
          <w:p>
            <w:pPr>
              <w:spacing w:after="0"/>
              <w:rPr>
                <w:sz w:val="14"/>
                <w:szCs w:val="14"/>
                <w:color w:val="auto"/>
              </w:rPr>
            </w:pPr>
          </w:p>
        </w:tc>
        <w:tc>
          <w:tcPr>
            <w:tcW w:w="3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number of shares outstanding</w:t>
            </w:r>
          </w:p>
        </w:tc>
        <w:tc>
          <w:tcPr>
            <w:tcW w:w="2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r>
      <w:tr>
        <w:trPr>
          <w:trHeight w:val="163"/>
        </w:trPr>
        <w:tc>
          <w:tcPr>
            <w:tcW w:w="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3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Common Shares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17,466,665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13,409,160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1"/>
        </w:trPr>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Legally outstanding shares</w:t>
            </w:r>
          </w:p>
        </w:tc>
        <w:tc>
          <w:tcPr>
            <w:tcW w:w="2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24,774,796</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23,640,804</w:t>
            </w:r>
          </w:p>
        </w:tc>
      </w:tr>
      <w:tr>
        <w:trPr>
          <w:trHeight w:val="163"/>
        </w:trPr>
        <w:tc>
          <w:tcPr>
            <w:tcW w:w="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3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Fully Diluted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26,438,978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24,954,426</w:t>
            </w:r>
          </w:p>
        </w:tc>
      </w:tr>
      <w:tr>
        <w:trPr>
          <w:trHeight w:val="28"/>
        </w:trPr>
        <w:tc>
          <w:tcPr>
            <w:tcW w:w="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1"/>
        </w:trPr>
        <w:tc>
          <w:tcPr>
            <w:tcW w:w="20" w:type="dxa"/>
            <w:vAlign w:val="bottom"/>
            <w:tcBorders>
              <w:bottom w:val="single" w:sz="8" w:color="CCEEFF"/>
            </w:tcBorders>
            <w:shd w:val="clear" w:color="auto" w:fill="CCEEFF"/>
          </w:tcPr>
          <w:p>
            <w:pPr>
              <w:spacing w:after="0"/>
              <w:rPr>
                <w:sz w:val="14"/>
                <w:szCs w:val="14"/>
                <w:color w:val="auto"/>
              </w:rPr>
            </w:pPr>
          </w:p>
        </w:tc>
        <w:tc>
          <w:tcPr>
            <w:tcW w:w="3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Earnings per share (EPS, $), based on</w:t>
            </w:r>
          </w:p>
        </w:tc>
        <w:tc>
          <w:tcPr>
            <w:tcW w:w="2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r>
      <w:tr>
        <w:trPr>
          <w:trHeight w:val="163"/>
        </w:trPr>
        <w:tc>
          <w:tcPr>
            <w:tcW w:w="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3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Common Shares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(2.37)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1"/>
        </w:trPr>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Legally outstanding shares</w:t>
            </w:r>
          </w:p>
        </w:tc>
        <w:tc>
          <w:tcPr>
            <w:tcW w:w="2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1.48</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w:t>
            </w:r>
          </w:p>
        </w:tc>
      </w:tr>
      <w:tr>
        <w:trPr>
          <w:trHeight w:val="163"/>
        </w:trPr>
        <w:tc>
          <w:tcPr>
            <w:tcW w:w="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3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Fully Diluted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gridSpan w:val="2"/>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1.39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w:t>
            </w:r>
          </w:p>
        </w:tc>
      </w:tr>
    </w:tbl>
    <w:p>
      <w:pPr>
        <w:spacing w:after="0" w:line="85" w:lineRule="exact"/>
        <w:rPr>
          <w:sz w:val="20"/>
          <w:szCs w:val="20"/>
          <w:color w:val="auto"/>
        </w:rPr>
      </w:pPr>
    </w:p>
    <w:p>
      <w:pPr>
        <w:ind w:left="260" w:hanging="255"/>
        <w:spacing w:after="0"/>
        <w:tabs>
          <w:tab w:leader="none" w:pos="2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Table may not sum due to immaterial rounding differences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sets forth a reconciliation of net cash provided by operating activities to Adjusted Free Cash Flow.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1680" w:type="dxa"/>
            <w:vAlign w:val="bottom"/>
          </w:tcPr>
          <w:p>
            <w:pPr>
              <w:spacing w:after="0"/>
              <w:rPr>
                <w:sz w:val="14"/>
                <w:szCs w:val="14"/>
                <w:color w:val="auto"/>
              </w:rPr>
            </w:pPr>
          </w:p>
        </w:tc>
      </w:tr>
      <w:tr>
        <w:trPr>
          <w:trHeight w:val="199"/>
        </w:trPr>
        <w:tc>
          <w:tcPr>
            <w:tcW w:w="4600" w:type="dxa"/>
            <w:vAlign w:val="bottom"/>
          </w:tcPr>
          <w:p>
            <w:pPr>
              <w:spacing w:after="0"/>
              <w:rPr>
                <w:sz w:val="17"/>
                <w:szCs w:val="17"/>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Change</w:t>
            </w:r>
          </w:p>
        </w:tc>
        <w:tc>
          <w:tcPr>
            <w:tcW w:w="1680" w:type="dxa"/>
            <w:vAlign w:val="bottom"/>
          </w:tcPr>
          <w:p>
            <w:pPr>
              <w:jc w:val="right"/>
              <w:ind w:right="516"/>
              <w:spacing w:after="0"/>
              <w:rPr>
                <w:sz w:val="20"/>
                <w:szCs w:val="20"/>
                <w:color w:val="auto"/>
              </w:rPr>
            </w:pPr>
            <w:r>
              <w:rPr>
                <w:rFonts w:ascii="Times New Roman" w:cs="Times New Roman" w:eastAsia="Times New Roman" w:hAnsi="Times New Roman"/>
                <w:sz w:val="13"/>
                <w:szCs w:val="13"/>
                <w:color w:val="auto"/>
              </w:rPr>
              <w:t>% Change</w:t>
            </w:r>
          </w:p>
        </w:tc>
      </w:tr>
      <w:tr>
        <w:trPr>
          <w:trHeight w:val="189"/>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1120" w:type="dxa"/>
            <w:vAlign w:val="bottom"/>
            <w:tcBorders>
              <w:top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24.8</w:t>
            </w:r>
          </w:p>
        </w:tc>
        <w:tc>
          <w:tcPr>
            <w:tcW w:w="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51.0 %</w:t>
            </w:r>
          </w:p>
        </w:tc>
      </w:tr>
      <w:tr>
        <w:trPr>
          <w:trHeight w:val="183"/>
        </w:trPr>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Prepaid post-combination expense</w:t>
            </w:r>
          </w:p>
        </w:tc>
        <w:tc>
          <w:tcPr>
            <w:tcW w:w="1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10.5</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125.4 %</w:t>
            </w:r>
          </w:p>
        </w:tc>
      </w:tr>
      <w:tr>
        <w:trPr>
          <w:trHeight w:val="199"/>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other liability</w:t>
            </w: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74.6 %</w:t>
            </w:r>
          </w:p>
        </w:tc>
      </w:tr>
      <w:tr>
        <w:trPr>
          <w:trHeight w:val="183"/>
        </w:trPr>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contingent consideration</w:t>
            </w:r>
          </w:p>
        </w:tc>
        <w:tc>
          <w:tcPr>
            <w:tcW w:w="112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(98.5)%</w:t>
            </w:r>
          </w:p>
        </w:tc>
      </w:tr>
      <w:tr>
        <w:trPr>
          <w:trHeight w:val="191"/>
        </w:trPr>
        <w:tc>
          <w:tcPr>
            <w:tcW w:w="46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Capex</w:t>
            </w:r>
          </w:p>
        </w:tc>
        <w:tc>
          <w:tcPr>
            <w:tcW w:w="1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w:t>
            </w:r>
          </w:p>
        </w:tc>
      </w:tr>
      <w:tr>
        <w:trPr>
          <w:trHeight w:val="182"/>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Free Cash Flow</w:t>
            </w:r>
          </w:p>
        </w:tc>
        <w:tc>
          <w:tcPr>
            <w:tcW w:w="112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36.9</w:t>
            </w: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sets forth a reconciliation of cash and cash equivalents at period-end to net debt at period-end.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20" w:type="dxa"/>
            <w:vAlign w:val="bottom"/>
          </w:tcPr>
          <w:p>
            <w:pPr>
              <w:spacing w:after="0"/>
              <w:rPr>
                <w:sz w:val="15"/>
                <w:szCs w:val="15"/>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December 31, 2024</w:t>
            </w:r>
          </w:p>
        </w:tc>
        <w:tc>
          <w:tcPr>
            <w:tcW w:w="340" w:type="dxa"/>
            <w:vAlign w:val="bottom"/>
          </w:tcPr>
          <w:p>
            <w:pPr>
              <w:spacing w:after="0"/>
              <w:rPr>
                <w:sz w:val="15"/>
                <w:szCs w:val="15"/>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 Change</w:t>
            </w:r>
          </w:p>
        </w:tc>
        <w:tc>
          <w:tcPr>
            <w:tcW w:w="166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rPr>
              <w:t>% Change</w:t>
            </w:r>
          </w:p>
        </w:tc>
        <w:tc>
          <w:tcPr>
            <w:tcW w:w="140" w:type="dxa"/>
            <w:vAlign w:val="bottom"/>
          </w:tcPr>
          <w:p>
            <w:pPr>
              <w:spacing w:after="0"/>
              <w:rPr>
                <w:sz w:val="15"/>
                <w:szCs w:val="15"/>
                <w:color w:val="auto"/>
              </w:rPr>
            </w:pPr>
          </w:p>
        </w:tc>
      </w:tr>
      <w:tr>
        <w:trPr>
          <w:trHeight w:val="189"/>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as of end of period</w:t>
            </w: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20.4</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83"/>
        </w:trPr>
        <w:tc>
          <w:tcPr>
            <w:tcW w:w="4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Notes payable, long-term, net</w:t>
            </w: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(37.9)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91"/>
        </w:trPr>
        <w:tc>
          <w:tcPr>
            <w:tcW w:w="42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Notes payable, current portion, net</w:t>
            </w:r>
          </w:p>
        </w:tc>
        <w:tc>
          <w:tcPr>
            <w:tcW w:w="20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(9.1)</w:t>
            </w:r>
          </w:p>
        </w:tc>
        <w:tc>
          <w:tcPr>
            <w:tcW w:w="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82"/>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debt at period-end</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(26.6)</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(17.5)</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9.0</w:t>
            </w:r>
          </w:p>
        </w:tc>
        <w:tc>
          <w:tcPr>
            <w:tcW w:w="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51.6 %</w:t>
            </w: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Segment Results of Operations</w:t>
      </w:r>
    </w:p>
    <w:p>
      <w:pPr>
        <w:spacing w:after="0" w:line="136" w:lineRule="exact"/>
        <w:rPr>
          <w:sz w:val="20"/>
          <w:szCs w:val="20"/>
          <w:color w:val="auto"/>
        </w:rPr>
      </w:pPr>
    </w:p>
    <w:p>
      <w:pPr>
        <w:ind w:right="640"/>
        <w:spacing w:after="0" w:line="288" w:lineRule="auto"/>
        <w:rPr>
          <w:sz w:val="20"/>
          <w:szCs w:val="20"/>
          <w:color w:val="auto"/>
        </w:rPr>
      </w:pPr>
      <w:r>
        <w:rPr>
          <w:rFonts w:ascii="Times New Roman" w:cs="Times New Roman" w:eastAsia="Times New Roman" w:hAnsi="Times New Roman"/>
          <w:sz w:val="14"/>
          <w:szCs w:val="14"/>
          <w:color w:val="auto"/>
        </w:rPr>
        <w:t>As discussed in Note 17. Segment Reporting, we have three reportable segments as of December 31, 2025, Government Relations Consulting, Corporate Communications &amp; Public Affairs Consulting and Compliance and Insights Services. The results of operations of our segments are as follows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4443095</wp:posOffset>
            </wp:positionH>
            <wp:positionV relativeFrom="paragraph">
              <wp:posOffset>38735</wp:posOffset>
            </wp:positionV>
            <wp:extent cx="272161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21610" cy="698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980" w:type="dxa"/>
            <w:vAlign w:val="bottom"/>
            <w:tcBorders>
              <w:bottom w:val="single" w:sz="8" w:color="auto"/>
            </w:tcBorders>
          </w:tcPr>
          <w:p>
            <w:pPr>
              <w:spacing w:after="0"/>
              <w:rPr>
                <w:sz w:val="15"/>
                <w:szCs w:val="15"/>
                <w:color w:val="auto"/>
              </w:rPr>
            </w:pPr>
          </w:p>
        </w:tc>
      </w:tr>
      <w:tr>
        <w:trPr>
          <w:trHeight w:val="182"/>
        </w:trPr>
        <w:tc>
          <w:tcPr>
            <w:tcW w:w="7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rPr>
              <w:t>2024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Change</w:t>
            </w:r>
          </w:p>
        </w:tc>
        <w:tc>
          <w:tcPr>
            <w:tcW w:w="98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 Change</w:t>
            </w:r>
          </w:p>
        </w:tc>
      </w:tr>
      <w:tr>
        <w:trPr>
          <w:trHeight w:val="179"/>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Government Relations Consulting</w:t>
            </w: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r>
      <w:tr>
        <w:trPr>
          <w:trHeight w:val="183"/>
        </w:trPr>
        <w:tc>
          <w:tcPr>
            <w:tcW w:w="7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108.5</w:t>
            </w:r>
          </w:p>
        </w:tc>
        <w:tc>
          <w:tcPr>
            <w:tcW w:w="120" w:type="dxa"/>
            <w:vAlign w:val="bottom"/>
          </w:tcPr>
          <w:p>
            <w:pPr>
              <w:spacing w:after="0"/>
              <w:rPr>
                <w:sz w:val="15"/>
                <w:szCs w:val="15"/>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102.5</w:t>
            </w:r>
          </w:p>
        </w:tc>
        <w:tc>
          <w:tcPr>
            <w:tcW w:w="12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5.9 %</w:t>
            </w: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Staff costs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50.2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47.3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6.0 %</w:t>
            </w:r>
          </w:p>
        </w:tc>
      </w:tr>
      <w:tr>
        <w:trPr>
          <w:trHeight w:val="183"/>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Non-staff costs</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9.8</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19.7 %</w:t>
            </w:r>
          </w:p>
        </w:tc>
      </w:tr>
      <w:tr>
        <w:trPr>
          <w:trHeight w:val="18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Segment Adjusted Pre-Bonus EBITDA</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48.5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46.9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3.4 %</w:t>
            </w:r>
          </w:p>
        </w:tc>
      </w:tr>
      <w:tr>
        <w:trPr>
          <w:trHeight w:val="183"/>
        </w:trPr>
        <w:tc>
          <w:tcPr>
            <w:tcW w:w="7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Segment Adjusted Pre-Bonus EBITDA Margin</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44.7 %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i w:val="1"/>
                <w:iCs w:val="1"/>
                <w:color w:val="auto"/>
              </w:rPr>
              <w:t>(1.1)pts</w:t>
            </w:r>
          </w:p>
        </w:tc>
        <w:tc>
          <w:tcPr>
            <w:tcW w:w="980" w:type="dxa"/>
            <w:vAlign w:val="bottom"/>
          </w:tcPr>
          <w:p>
            <w:pPr>
              <w:spacing w:after="0"/>
              <w:rPr>
                <w:sz w:val="15"/>
                <w:szCs w:val="15"/>
                <w:color w:val="auto"/>
              </w:rPr>
            </w:pPr>
          </w:p>
        </w:tc>
      </w:tr>
      <w:tr>
        <w:trPr>
          <w:trHeight w:val="177"/>
        </w:trPr>
        <w:tc>
          <w:tcPr>
            <w:tcW w:w="7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3"/>
        </w:trPr>
        <w:tc>
          <w:tcPr>
            <w:tcW w:w="7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Corporate Communications &amp; Public Affairs Consulting</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65.1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36.4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28.6</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78.7 %</w:t>
            </w:r>
          </w:p>
        </w:tc>
      </w:tr>
      <w:tr>
        <w:trPr>
          <w:trHeight w:val="183"/>
        </w:trPr>
        <w:tc>
          <w:tcPr>
            <w:tcW w:w="7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Staff costs</w:t>
            </w:r>
          </w:p>
        </w:tc>
        <w:tc>
          <w:tcPr>
            <w:tcW w:w="22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37.4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23.4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14.0</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59.6 %</w:t>
            </w:r>
          </w:p>
        </w:tc>
      </w:tr>
      <w:tr>
        <w:trPr>
          <w:trHeight w:val="191"/>
        </w:trPr>
        <w:tc>
          <w:tcPr>
            <w:tcW w:w="7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Non-staff costs</w:t>
            </w: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8.9</w:t>
            </w:r>
          </w:p>
        </w:tc>
        <w:tc>
          <w:tcPr>
            <w:tcW w:w="1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70.3 %</w:t>
            </w:r>
          </w:p>
        </w:tc>
      </w:tr>
      <w:tr>
        <w:trPr>
          <w:trHeight w:val="182"/>
        </w:trPr>
        <w:tc>
          <w:tcPr>
            <w:tcW w:w="7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Segment Adjusted Pre-Bonus EBITDA</w:t>
            </w:r>
          </w:p>
        </w:tc>
        <w:tc>
          <w:tcPr>
            <w:tcW w:w="22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18.8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141.7 %</w:t>
            </w: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Segment Adjusted Pre-Bonus EBITDA Margin</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28.9 %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i w:val="1"/>
                <w:iCs w:val="1"/>
                <w:color w:val="auto"/>
              </w:rPr>
              <w:t>7.5 pts</w:t>
            </w:r>
          </w:p>
        </w:tc>
        <w:tc>
          <w:tcPr>
            <w:tcW w:w="980" w:type="dxa"/>
            <w:vAlign w:val="bottom"/>
            <w:shd w:val="clear" w:color="auto" w:fill="CCEEFF"/>
          </w:tcPr>
          <w:p>
            <w:pPr>
              <w:spacing w:after="0"/>
              <w:rPr>
                <w:sz w:val="17"/>
                <w:szCs w:val="17"/>
                <w:color w:val="auto"/>
              </w:rPr>
            </w:pPr>
          </w:p>
        </w:tc>
      </w:tr>
      <w:tr>
        <w:trPr>
          <w:trHeight w:val="170"/>
        </w:trPr>
        <w:tc>
          <w:tcPr>
            <w:tcW w:w="7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Compliance and Insights Services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3"/>
        </w:trPr>
        <w:tc>
          <w:tcPr>
            <w:tcW w:w="7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22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10.7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21.5 %</w:t>
            </w: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Staff costs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5.1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4.7 %</w:t>
            </w:r>
          </w:p>
        </w:tc>
      </w:tr>
      <w:tr>
        <w:trPr>
          <w:trHeight w:val="183"/>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Non-staff costs</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0.8</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0.7</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8.3 %</w:t>
            </w:r>
          </w:p>
        </w:tc>
      </w:tr>
      <w:tr>
        <w:trPr>
          <w:trHeight w:val="18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Segment Adjusted Pre-Bonus EBITDA</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7.1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39.5 %</w:t>
            </w:r>
          </w:p>
        </w:tc>
      </w:tr>
      <w:tr>
        <w:trPr>
          <w:trHeight w:val="183"/>
        </w:trPr>
        <w:tc>
          <w:tcPr>
            <w:tcW w:w="7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Segment Adjusted Pre-Bonus EBITDA Margin</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54.7 %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i w:val="1"/>
                <w:iCs w:val="1"/>
                <w:color w:val="auto"/>
              </w:rPr>
              <w:t>7.0 pts</w:t>
            </w:r>
          </w:p>
        </w:tc>
        <w:tc>
          <w:tcPr>
            <w:tcW w:w="980" w:type="dxa"/>
            <w:vAlign w:val="bottom"/>
          </w:tcPr>
          <w:p>
            <w:pPr>
              <w:spacing w:after="0"/>
              <w:rPr>
                <w:sz w:val="15"/>
                <w:szCs w:val="15"/>
                <w:color w:val="auto"/>
              </w:rPr>
            </w:pPr>
          </w:p>
        </w:tc>
      </w:tr>
      <w:tr>
        <w:trPr>
          <w:trHeight w:val="177"/>
        </w:trPr>
        <w:tc>
          <w:tcPr>
            <w:tcW w:w="7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3"/>
        </w:trPr>
        <w:tc>
          <w:tcPr>
            <w:tcW w:w="7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Total</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186.5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149.6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37.0</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24.7 %</w:t>
            </w:r>
          </w:p>
        </w:tc>
      </w:tr>
      <w:tr>
        <w:trPr>
          <w:trHeight w:val="183"/>
        </w:trPr>
        <w:tc>
          <w:tcPr>
            <w:tcW w:w="7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Segment Adjusted pre-bonus EBITDA</w:t>
            </w:r>
          </w:p>
        </w:tc>
        <w:tc>
          <w:tcPr>
            <w:tcW w:w="22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74.5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59.8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14.6</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24.5 %</w:t>
            </w: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Segment Adjusted pre-bonus EBITDA margin</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39.9 %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i w:val="1"/>
                <w:iCs w:val="1"/>
                <w:color w:val="auto"/>
              </w:rPr>
              <w:t>(0.1)pts</w:t>
            </w:r>
          </w:p>
        </w:tc>
        <w:tc>
          <w:tcPr>
            <w:tcW w:w="980" w:type="dxa"/>
            <w:vAlign w:val="bottom"/>
            <w:shd w:val="clear" w:color="auto" w:fill="CCEEFF"/>
          </w:tcPr>
          <w:p>
            <w:pPr>
              <w:spacing w:after="0"/>
              <w:rPr>
                <w:sz w:val="17"/>
                <w:szCs w:val="17"/>
                <w:color w:val="auto"/>
              </w:rPr>
            </w:pPr>
          </w:p>
        </w:tc>
      </w:tr>
      <w:tr>
        <w:trPr>
          <w:trHeight w:val="170"/>
        </w:trPr>
        <w:tc>
          <w:tcPr>
            <w:tcW w:w="7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Unallocated bonus expense</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(16.7)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(10.4)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61.1 %</w:t>
            </w:r>
          </w:p>
        </w:tc>
      </w:tr>
      <w:tr>
        <w:trPr>
          <w:trHeight w:val="183"/>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Unallocated corporate costs</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(12.4)</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(10.9)</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13.5 %</w:t>
            </w:r>
          </w:p>
        </w:tc>
      </w:tr>
      <w:tr>
        <w:trPr>
          <w:trHeight w:val="18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45.4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38.6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17.7 %</w:t>
            </w:r>
          </w:p>
        </w:tc>
      </w:tr>
      <w:tr>
        <w:trPr>
          <w:trHeight w:val="167"/>
        </w:trPr>
        <w:tc>
          <w:tcPr>
            <w:tcW w:w="7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EBITDA Margin</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24.3 %</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25.8 %</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(1.5)pts</w:t>
            </w:r>
          </w:p>
        </w:tc>
        <w:tc>
          <w:tcPr>
            <w:tcW w:w="980" w:type="dxa"/>
            <w:vAlign w:val="bottom"/>
          </w:tcPr>
          <w:p>
            <w:pPr>
              <w:spacing w:after="0"/>
              <w:rPr>
                <w:sz w:val="14"/>
                <w:szCs w:val="14"/>
                <w:color w:val="auto"/>
              </w:rPr>
            </w:pPr>
          </w:p>
        </w:tc>
      </w:tr>
    </w:tbl>
    <w:p>
      <w:pPr>
        <w:spacing w:after="0" w:line="49" w:lineRule="exact"/>
        <w:rPr>
          <w:sz w:val="20"/>
          <w:szCs w:val="20"/>
          <w:color w:val="auto"/>
        </w:rPr>
      </w:pPr>
    </w:p>
    <w:p>
      <w:pPr>
        <w:ind w:left="260" w:hanging="255"/>
        <w:spacing w:after="0"/>
        <w:tabs>
          <w:tab w:leader="none" w:pos="2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Table may not sum due to immaterial rounding differences.</w:t>
      </w:r>
    </w:p>
    <w:p>
      <w:pPr>
        <w:spacing w:after="0" w:line="141"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4"/>
          <w:szCs w:val="14"/>
          <w:color w:val="auto"/>
        </w:rPr>
        <w:t>The staff costs for the year ended December 31, 2025 for the Government Relations Consulting segment increased by $2.8 million, of which $1.6 million was the result of the acquisitions of Pagefield and Pine Cove, while $1.2 million arose from increases in line with revenue. Furthermore, for the year ended December 31, 2025, the staff costs for the Corporate Communications &amp; Public Affairs Consulting segment increased $14.0 million, of which $13.4 million reflects the acquisition of Lucas, Pagefield and TrailRunner.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Government Relations Consulting Segment Adjusted Pre-Bonus EBITDA increased by $1.6 million, or 3.4% for the year ended December 31, 2025, with expense increases from acquisitions of Pagefield (2024 Q2), Pine Cove (2025 Q3) and trade receivable provisions offsetting the associated revenue increases.</w:t>
      </w:r>
    </w:p>
    <w:p>
      <w:pPr>
        <w:spacing w:after="0" w:line="8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Corporate Communications &amp; Public Affair Consulting Segment Adjusted Pre-Bonus EBITDA increased by $11.0 million, or 141.7% for the year ended December 31, 2025, as a consequence of strong organic growth reflecting a rebound from the slower first six months in 2024, in tandem with the acquisitions of Pagefield, Lucas Public Affairs (both 2024 Q2) and TrailRunner International (2025 Q2).</w:t>
      </w:r>
    </w:p>
    <w:p>
      <w:pPr>
        <w:spacing w:after="0" w:line="93"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Compliance and Insights Services Segment Adjusted Pre-Bonus EBITDA increased by $2.0 million, or 39.5% for the year ended December 31, 2025, respectively reflecting the strong pricing of subscription contracts in this area, in combination with the increased use of technology in servicing our clients.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Affecting Our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Ongoing changes in policy, regulatory and political activity are driving demand for our services.</w:t>
      </w:r>
    </w:p>
    <w:p>
      <w:pPr>
        <w:spacing w:after="0" w:line="1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size of the market for government relations services has generally grown over the past decade. Federal level lobbying increased at a CAGR of over 4.1% between 2014 and 2025. In general, changes in power - and the associated change in agendas – drive a need for clients to interact with government and voter constituencies on policy matters. In recent years this market growth was driven by historic levels of stimulus and infrastructure spending from the federal government during and immediately after the COVID years, increased focus on state and city lobbying, and active legislative agendas at all government levels. Also following the outcome of the 2025 United States elections, we have observed material new business activity in the United States driven by evolving United States tariff policies, tax policies, antitrust initiatives and an expected move toward deregulation of certain industries. These factors are applicable to all three of our segments.</w:t>
      </w:r>
    </w:p>
    <w:p>
      <w:pPr>
        <w:spacing w:after="0" w:line="101"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 market for public affairs is complementary to that for government relations, and is believed to be larger. While the long-term growth trends for all of these markets are believed to be similar, in the short term. Public affairs is more susceptible to the swings of economic environment and timing of elections.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Since our inception, we have grown our business substantially through strategic acquisitions of other firms in our industry and expect to make additional acquisitions in the future.</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Since our founding in 2014, we have acquired multiple businesses, which currently operate as 12 semi-autonomous companies. Following each successive acquisition, each new company has been integrated into our corporate structure and its financial position, cash flows and operating results subsequently consolidated in to our accounts and annual financial statements. Our revenue has grown significantly over the period since 2014 in part as a result of such consolidation as well organic growth. In the year ending December 31, 2024, we acquired Lucas and Pagefield; In the year ending December 31, 2025 we acquired TrailRunner and Pine Cove. We continue to actively seek to expand our portfolio of member companies internationally with strategically and financially attractive opportunities while adding complementary specializations. We believe that we can substantially grow our revenue in the coming years through a combination of such acquisitions and organic growth. Our ability to grow our revenues through further M&amp;A activity, and to and achieve our desired EBITDA margins, will depend on a number of factors, including the availability of acquisition targets and our ability to negotiate favorable pricing and terms, factors which may in turn be impacted by market conditions, interest rates and the demand for services in our industry.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Limited Exposure to Shifts in Political Power</w:t>
      </w:r>
    </w:p>
    <w:p>
      <w:pPr>
        <w:spacing w:after="0" w:line="138"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Since inception, our strategy has been to minimize reliance on the political orientation of the parties that control executive or legislative government bodies. To that end, each of our member companies operates with clients from across the political spectrum irrespective of their party affiliation. In addition, we do not engage in work for political campaigns. This approach is intended to ensure stability in our client base and mitigate the potential impact of changes in political leadership on our business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Relatively low cyclicality of demand for lobbying services helps mitigate greater cyclicality in the public affairs and strategic communications market.</w:t>
      </w:r>
    </w:p>
    <w:p>
      <w:pPr>
        <w:spacing w:after="0" w:line="13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level and variability of demand for lobbying services varies by industry, and the demand for lobbying services can be impacted by political developments such as proposed legislation affecting a particular industry or group. For example, in a given year, proposed soda taxes may result in increased lobbying spend by the beverage industry or legislation affecting</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federal health care spending or reimbursements could boost lobbying spend by the healthcare and pharmaceutical industries. Overall, however, lobbying spend appears to be less correlated to the to the economic cycle, and has shown a relatively modest decline during recent recessions—for example, there was only a ~2% decline in active lobbyist positions during the 2008 recession.</w:t>
      </w:r>
    </w:p>
    <w:p>
      <w:pPr>
        <w:spacing w:after="0" w:line="8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By contrast, corporate allocations to public affairs are more exposed to cyclicality, for example through project-based fees, than government affairs. During an economic downturn, clients may be more likely to defer big public affairs projects and trim media spend. Increased public affairs spending in recent years has been driven by several key trends, including more advanced digital engagement capabilities and channels and heightened consumer and brand activism, but there can be no assurance that such trends will continue. We believe that our core lobbying relationships provide a strong foothold giving us access to client decision makers, and we have seen less cyclical variability in our related public relations revenues than our competitors that do not have integrated lobbying offerings.</w:t>
      </w:r>
    </w:p>
    <w:p>
      <w:pPr>
        <w:spacing w:after="0" w:line="10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There has been recent discussion in the financial press about a heightened risk of recession in the US or other global markets over the next 12 months. While, as noted, we would expect any resulting impact on the demand for our services to be felt primarily in our Corporate Communications &amp; Public Affairs Consulting segment, and to be mitigated by the strength of our client relationships, a prolonged or severe downturn in the United States or global economy could negatively impact demand for lobbying and public affairs services and thus our revenues and results of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Digital disruption and AI are likely to continue to affect the needs of our Strategic Communications and Public Affairs clients and the way we do business.</w:t>
      </w:r>
    </w:p>
    <w:p>
      <w:pPr>
        <w:spacing w:after="0" w:line="13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Work in our Government Relations Consulting segment has faced limited digital disruption to its core business model or service offering. Firms still largely operate in a traditional way based on relationships and face-to face interactions (physically or virtually). Digital content, communication and channels have, however, been a significant disruptor to the public relations industry as well as the strategic communications sector and have significantly changed the way that communications and advocacy are delivered. Data analytics knowledge and tools have become increasingly valuable and are more often than not required hiring criteria for all agency partners.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8"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Our primary sources of liquidity have been cash flows from operations and bank borrowings, and our principal uses of cash flows from operations include investment in strategic acquisitions and distributions to our shareholders.</w:t>
      </w:r>
    </w:p>
    <w:p>
      <w:pPr>
        <w:spacing w:after="0" w:line="8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Our ability to fund future acquisitions, capital expenditures and working capital, and to make scheduled payments of principal, or to pay the interest on, or to refinance, our indebtedness, will depend on our future performance and our ability to generate cash, which, to a certain extent, is subject to general economic, financial, competitive, legislative, legal, regulatory and other factors that are beyond our control. We believe that our cash flows from operating activities and bank borrowings will be sufficient to fund our anticipated acquisitions, capital expenditure, working capital requirements and debt service requirements as they become due.</w:t>
      </w:r>
    </w:p>
    <w:p>
      <w:pPr>
        <w:spacing w:after="0" w:line="87"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4"/>
          <w:szCs w:val="14"/>
          <w:color w:val="auto"/>
        </w:rPr>
        <w:t>Our working capital cycle typically peaks during the second quarter of the year due to the timing of payments for incentive compensation, income taxes and contingent purchase price obligations. In addition, we have contractual obligations related to our long-term debt (principal and interest payments), recurring business operations, primarily related to lease obligations, and acquisition-related obligations. Our principal discretionary cash spending includes dividend payments to common shareholders and strategic acquisitions. We have adjusted our dividend policy in January 2025, to</w:t>
      </w:r>
    </w:p>
    <w:p>
      <w:pPr>
        <w:spacing w:after="0" w:line="271" w:lineRule="auto"/>
        <w:rPr>
          <w:sz w:val="20"/>
          <w:szCs w:val="20"/>
          <w:color w:val="auto"/>
        </w:rPr>
      </w:pPr>
      <w:r>
        <w:rPr>
          <w:rFonts w:ascii="Times New Roman" w:cs="Times New Roman" w:eastAsia="Times New Roman" w:hAnsi="Times New Roman"/>
          <w:sz w:val="14"/>
          <w:szCs w:val="14"/>
          <w:color w:val="auto"/>
        </w:rPr>
        <w:t>propose to approximately halve the dividend paid per share in order to preserve capital for future M&amp;A opportunities. We anticipate continuing to avail ourself of debt facilities, however management will continue to consider all available sources of capital.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Historical cash flows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cash flows, as reported in our accompanying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28575</wp:posOffset>
            </wp:positionV>
            <wp:extent cx="329438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94380" cy="698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ind w:left="58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1460" w:type="dxa"/>
            <w:vAlign w:val="bottom"/>
            <w:tcBorders>
              <w:bottom w:val="single" w:sz="8" w:color="auto"/>
            </w:tcBorders>
          </w:tcPr>
          <w:p>
            <w:pPr>
              <w:spacing w:after="0"/>
              <w:rPr>
                <w:sz w:val="15"/>
                <w:szCs w:val="15"/>
                <w:color w:val="auto"/>
              </w:rPr>
            </w:pPr>
          </w:p>
        </w:tc>
      </w:tr>
      <w:tr>
        <w:trPr>
          <w:trHeight w:val="182"/>
        </w:trPr>
        <w:tc>
          <w:tcPr>
            <w:tcW w:w="6100" w:type="dxa"/>
            <w:vAlign w:val="bottom"/>
          </w:tcPr>
          <w:p>
            <w:pPr>
              <w:spacing w:after="0"/>
              <w:rPr>
                <w:sz w:val="15"/>
                <w:szCs w:val="15"/>
                <w:color w:val="auto"/>
              </w:rPr>
            </w:pP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2024</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Change</w:t>
            </w:r>
          </w:p>
        </w:tc>
        <w:tc>
          <w:tcPr>
            <w:tcW w:w="1460" w:type="dxa"/>
            <w:vAlign w:val="bottom"/>
          </w:tcPr>
          <w:p>
            <w:pPr>
              <w:jc w:val="right"/>
              <w:ind w:right="396"/>
              <w:spacing w:after="0"/>
              <w:rPr>
                <w:sz w:val="20"/>
                <w:szCs w:val="20"/>
                <w:color w:val="auto"/>
              </w:rPr>
            </w:pPr>
            <w:r>
              <w:rPr>
                <w:rFonts w:ascii="Times New Roman" w:cs="Times New Roman" w:eastAsia="Times New Roman" w:hAnsi="Times New Roman"/>
                <w:sz w:val="13"/>
                <w:szCs w:val="13"/>
                <w:color w:val="auto"/>
              </w:rPr>
              <w:t>% Change</w:t>
            </w:r>
          </w:p>
        </w:tc>
      </w:tr>
      <w:tr>
        <w:trPr>
          <w:trHeight w:val="189"/>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800" w:type="dxa"/>
            <w:vAlign w:val="bottom"/>
            <w:tcBorders>
              <w:top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24.8</w:t>
            </w: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center"/>
              <w:ind w:left="356"/>
              <w:spacing w:after="0"/>
              <w:rPr>
                <w:sz w:val="20"/>
                <w:szCs w:val="20"/>
                <w:color w:val="auto"/>
              </w:rPr>
            </w:pPr>
            <w:r>
              <w:rPr>
                <w:rFonts w:ascii="Times New Roman" w:cs="Times New Roman" w:eastAsia="Times New Roman" w:hAnsi="Times New Roman"/>
                <w:sz w:val="13"/>
                <w:szCs w:val="13"/>
                <w:color w:val="auto"/>
                <w:w w:val="98"/>
              </w:rPr>
              <w:t>8.4</w:t>
            </w:r>
          </w:p>
        </w:tc>
        <w:tc>
          <w:tcPr>
            <w:tcW w:w="8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51.0 %</w:t>
            </w:r>
          </w:p>
        </w:tc>
      </w:tr>
      <w:tr>
        <w:trPr>
          <w:trHeight w:val="183"/>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8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(21.6)</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jc w:val="center"/>
              <w:ind w:left="336"/>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10.7 %</w:t>
            </w:r>
          </w:p>
        </w:tc>
      </w:tr>
      <w:tr>
        <w:trPr>
          <w:trHeight w:val="19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center"/>
              <w:ind w:left="336"/>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w:t>
            </w:r>
          </w:p>
        </w:tc>
      </w:tr>
      <w:tr>
        <w:trPr>
          <w:trHeight w:val="183"/>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and cash equivalents</w:t>
            </w:r>
          </w:p>
        </w:tc>
        <w:tc>
          <w:tcPr>
            <w:tcW w:w="8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0.2</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left="356"/>
              <w:spacing w:after="0"/>
              <w:rPr>
                <w:sz w:val="20"/>
                <w:szCs w:val="20"/>
                <w:color w:val="auto"/>
              </w:rPr>
            </w:pPr>
            <w:r>
              <w:rPr>
                <w:rFonts w:ascii="Times New Roman" w:cs="Times New Roman" w:eastAsia="Times New Roman" w:hAnsi="Times New Roman"/>
                <w:sz w:val="13"/>
                <w:szCs w:val="13"/>
                <w:color w:val="auto"/>
                <w:w w:val="98"/>
              </w:rPr>
              <w:t>0.2</w:t>
            </w: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(388.9)%</w:t>
            </w:r>
          </w:p>
        </w:tc>
      </w:tr>
      <w:tr>
        <w:trPr>
          <w:trHeight w:val="18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in cash and cash equivalents</w:t>
            </w: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356"/>
              <w:spacing w:after="0"/>
              <w:rPr>
                <w:sz w:val="20"/>
                <w:szCs w:val="20"/>
                <w:color w:val="auto"/>
              </w:rPr>
            </w:pPr>
            <w:r>
              <w:rPr>
                <w:rFonts w:ascii="Times New Roman" w:cs="Times New Roman" w:eastAsia="Times New Roman" w:hAnsi="Times New Roman"/>
                <w:sz w:val="13"/>
                <w:szCs w:val="13"/>
                <w:color w:val="auto"/>
                <w:w w:val="98"/>
              </w:rPr>
              <w:t>5.7</w:t>
            </w: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as of beginning of year</w:t>
            </w:r>
          </w:p>
        </w:tc>
        <w:tc>
          <w:tcPr>
            <w:tcW w:w="8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14.5</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jc w:val="center"/>
              <w:ind w:left="356"/>
              <w:spacing w:after="0"/>
              <w:rPr>
                <w:sz w:val="20"/>
                <w:szCs w:val="20"/>
                <w:color w:val="auto"/>
              </w:rPr>
            </w:pPr>
            <w:r>
              <w:rPr>
                <w:rFonts w:ascii="Times New Roman" w:cs="Times New Roman" w:eastAsia="Times New Roman" w:hAnsi="Times New Roman"/>
                <w:sz w:val="13"/>
                <w:szCs w:val="13"/>
                <w:color w:val="auto"/>
                <w:w w:val="98"/>
              </w:rPr>
              <w:t>0.2</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r>
      <w:tr>
        <w:trPr>
          <w:trHeight w:val="191"/>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as of end of year</w:t>
            </w:r>
          </w:p>
        </w:tc>
        <w:tc>
          <w:tcPr>
            <w:tcW w:w="80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20.4</w:t>
            </w:r>
          </w:p>
        </w:tc>
        <w:tc>
          <w:tcPr>
            <w:tcW w:w="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center"/>
              <w:ind w:left="356"/>
              <w:spacing w:after="0"/>
              <w:rPr>
                <w:sz w:val="20"/>
                <w:szCs w:val="20"/>
                <w:color w:val="auto"/>
              </w:rPr>
            </w:pPr>
            <w:r>
              <w:rPr>
                <w:rFonts w:ascii="Times New Roman" w:cs="Times New Roman" w:eastAsia="Times New Roman" w:hAnsi="Times New Roman"/>
                <w:sz w:val="13"/>
                <w:szCs w:val="13"/>
                <w:color w:val="auto"/>
                <w:w w:val="98"/>
              </w:rPr>
              <w:t>5.9</w:t>
            </w:r>
          </w:p>
        </w:tc>
        <w:tc>
          <w:tcPr>
            <w:tcW w:w="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40.6 %</w:t>
            </w:r>
          </w:p>
        </w:tc>
      </w:tr>
    </w:tbl>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flows generated from operating activities</w:t>
      </w:r>
    </w:p>
    <w:p>
      <w:pPr>
        <w:spacing w:after="0" w:line="13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Net cash provided by operating activities was $24.8 million for the year ended December 31, 2025, compared to $16.4 million for the year ended December 31, 2024. This increase of $8.4 million, or 51.0%, was primarily due to the growth in our business operations, additional income associated with the acquisitions of Lucas, Pagefield, TrailRunner and Pine Cove, and favorable movements in working capital, together offsetting the impact of growth in pre-paid post combination compensation. In absolute terms, the cash provided by operating activities tends to be lowest in the first three months of the year due to payment of bonuses.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flows used in investing activities</w:t>
      </w:r>
    </w:p>
    <w:p>
      <w:pPr>
        <w:spacing w:after="0" w:line="138"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Cash flows used in investing activities was $21.6 million for the year ended December 31, 2025, compared to $19.5 million for the year ended December 31, 2024. This increase of $2.1 million, or 10.7% was primarily due to an increase in the amount of cash paid for acquisitions (net of cash acquired), reflecting the acquisition of TrailRunner and Pine Cove in 2025 and the acquisitions of Lucas and Pagefield in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flows used in financing activities</w:t>
      </w:r>
    </w:p>
    <w:p>
      <w:pPr>
        <w:spacing w:after="0" w:line="138"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Cash flows provided by financing activities was $2.6 million for the year ended December 31, 2024, compared to $3.3 million used in financing activities for the year ended December 31, 2024. In each year, these financing cash flow results stemmed from the acquisition of new Bank Facilities for acquisitions ($24.0 million in 2025 and $25.0 million in 2024), offset by repayment on bank facilities and payment of dividends.</w:t>
      </w:r>
    </w:p>
    <w:p>
      <w:pPr>
        <w:spacing w:after="0" w:line="9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GAAP Cash Flow statement has certain acquisition-related payments included in the Cash provided by Operating Activities and in the Cash provided by Financing Activities, as a consequence of certain acquisition payments being made subject to continued employment.</w:t>
      </w:r>
    </w:p>
    <w:p>
      <w:pPr>
        <w:spacing w:after="0" w:line="82"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In an effort to also provide a more traditional picture of our Cash Flow build-up, we provide an Alternative Cash Flow Statement that explains abovementioned net increase in cash and cash equivalents. The following table summarizes the components of changes in cash and cash equivalents: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1340" w:type="dxa"/>
            <w:vAlign w:val="bottom"/>
          </w:tcPr>
          <w:p>
            <w:pPr>
              <w:spacing w:after="0"/>
              <w:rPr>
                <w:sz w:val="14"/>
                <w:szCs w:val="14"/>
                <w:color w:val="auto"/>
              </w:rPr>
            </w:pPr>
          </w:p>
        </w:tc>
      </w:tr>
      <w:tr>
        <w:trPr>
          <w:trHeight w:val="172"/>
        </w:trPr>
        <w:tc>
          <w:tcPr>
            <w:tcW w:w="582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 Change</w:t>
            </w:r>
          </w:p>
        </w:tc>
        <w:tc>
          <w:tcPr>
            <w:tcW w:w="134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rPr>
              <w:t>% Change</w:t>
            </w:r>
          </w:p>
        </w:tc>
      </w:tr>
      <w:tr>
        <w:trPr>
          <w:trHeight w:val="163"/>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 - as reported</w:t>
            </w:r>
          </w:p>
        </w:tc>
        <w:tc>
          <w:tcPr>
            <w:tcW w:w="840" w:type="dxa"/>
            <w:vAlign w:val="bottom"/>
            <w:tcBorders>
              <w:top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24.8</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51.0 %</w:t>
            </w:r>
          </w:p>
        </w:tc>
      </w:tr>
      <w:tr>
        <w:trPr>
          <w:trHeight w:val="189"/>
        </w:trPr>
        <w:tc>
          <w:tcPr>
            <w:tcW w:w="5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Prepaid post-combination expense</w:t>
            </w:r>
          </w:p>
        </w:tc>
        <w:tc>
          <w:tcPr>
            <w:tcW w:w="8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10.5</w:t>
            </w:r>
          </w:p>
        </w:tc>
        <w:tc>
          <w:tcPr>
            <w:tcW w:w="80" w:type="dxa"/>
            <w:vAlign w:val="bottom"/>
          </w:tcPr>
          <w:p>
            <w:pPr>
              <w:spacing w:after="0"/>
              <w:rPr>
                <w:sz w:val="16"/>
                <w:szCs w:val="16"/>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6"/>
                <w:szCs w:val="16"/>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125.4 %</w:t>
            </w:r>
          </w:p>
        </w:tc>
      </w:tr>
      <w:tr>
        <w:trPr>
          <w:trHeight w:val="193"/>
        </w:trPr>
        <w:tc>
          <w:tcPr>
            <w:tcW w:w="5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Change in other liability</w:t>
            </w:r>
          </w:p>
        </w:tc>
        <w:tc>
          <w:tcPr>
            <w:tcW w:w="8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74.6 %</w:t>
            </w:r>
          </w:p>
        </w:tc>
      </w:tr>
      <w:tr>
        <w:trPr>
          <w:trHeight w:val="189"/>
        </w:trPr>
        <w:tc>
          <w:tcPr>
            <w:tcW w:w="5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Change in contingent consideration</w:t>
            </w:r>
          </w:p>
        </w:tc>
        <w:tc>
          <w:tcPr>
            <w:tcW w:w="8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0.0</w:t>
            </w:r>
          </w:p>
        </w:tc>
        <w:tc>
          <w:tcPr>
            <w:tcW w:w="80" w:type="dxa"/>
            <w:vAlign w:val="bottom"/>
          </w:tcPr>
          <w:p>
            <w:pPr>
              <w:spacing w:after="0"/>
              <w:rPr>
                <w:sz w:val="16"/>
                <w:szCs w:val="16"/>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6"/>
                <w:szCs w:val="16"/>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(98.5)%</w:t>
            </w:r>
          </w:p>
        </w:tc>
      </w:tr>
      <w:tr>
        <w:trPr>
          <w:trHeight w:val="191"/>
        </w:trPr>
        <w:tc>
          <w:tcPr>
            <w:tcW w:w="58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Capex</w:t>
            </w:r>
          </w:p>
        </w:tc>
        <w:tc>
          <w:tcPr>
            <w:tcW w:w="8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0.0</w:t>
            </w:r>
          </w:p>
        </w:tc>
        <w:tc>
          <w:tcPr>
            <w:tcW w:w="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w:t>
            </w:r>
          </w:p>
        </w:tc>
      </w:tr>
      <w:tr>
        <w:trPr>
          <w:trHeight w:val="161"/>
        </w:trPr>
        <w:tc>
          <w:tcPr>
            <w:tcW w:w="58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Free Cash Flow</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36.9</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66.1 %</w:t>
            </w:r>
          </w:p>
        </w:tc>
      </w:tr>
      <w:tr>
        <w:trPr>
          <w:trHeight w:val="213"/>
        </w:trPr>
        <w:tc>
          <w:tcPr>
            <w:tcW w:w="5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89"/>
        </w:trPr>
        <w:tc>
          <w:tcPr>
            <w:tcW w:w="5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Cash paid for acquisitions, net of cash acquired</w:t>
            </w:r>
          </w:p>
        </w:tc>
        <w:tc>
          <w:tcPr>
            <w:tcW w:w="8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6.5 %</w:t>
            </w:r>
          </w:p>
        </w:tc>
      </w:tr>
      <w:tr>
        <w:trPr>
          <w:trHeight w:val="193"/>
        </w:trPr>
        <w:tc>
          <w:tcPr>
            <w:tcW w:w="5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Acquisition Payments included in Cash flow from Operations</w:t>
            </w:r>
          </w:p>
        </w:tc>
        <w:tc>
          <w:tcPr>
            <w:tcW w:w="8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106.7 %</w:t>
            </w:r>
          </w:p>
        </w:tc>
      </w:tr>
      <w:tr>
        <w:trPr>
          <w:trHeight w:val="189"/>
        </w:trPr>
        <w:tc>
          <w:tcPr>
            <w:tcW w:w="5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Acquisition Payments included in Cash flow from Financing</w:t>
            </w:r>
          </w:p>
        </w:tc>
        <w:tc>
          <w:tcPr>
            <w:tcW w:w="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(0.6)</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w:t>
            </w:r>
          </w:p>
        </w:tc>
      </w:tr>
      <w:tr>
        <w:trPr>
          <w:trHeight w:val="16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 related to acquisitions</w:t>
            </w: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28.0 %</w:t>
            </w:r>
          </w:p>
        </w:tc>
      </w:tr>
      <w:tr>
        <w:trPr>
          <w:trHeight w:val="212"/>
        </w:trPr>
        <w:tc>
          <w:tcPr>
            <w:tcW w:w="5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91"/>
        </w:trPr>
        <w:tc>
          <w:tcPr>
            <w:tcW w:w="5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Proceeds from notes payable</w:t>
            </w:r>
          </w:p>
        </w:tc>
        <w:tc>
          <w:tcPr>
            <w:tcW w:w="8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89"/>
        </w:trPr>
        <w:tc>
          <w:tcPr>
            <w:tcW w:w="5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8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w:t>
            </w:r>
          </w:p>
        </w:tc>
      </w:tr>
      <w:tr>
        <w:trPr>
          <w:trHeight w:val="193"/>
        </w:trPr>
        <w:tc>
          <w:tcPr>
            <w:tcW w:w="5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Loan issued to related parties</w:t>
            </w:r>
          </w:p>
        </w:tc>
        <w:tc>
          <w:tcPr>
            <w:tcW w:w="8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5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Proceeds received for notes receivable - related parties</w:t>
            </w:r>
          </w:p>
        </w:tc>
        <w:tc>
          <w:tcPr>
            <w:tcW w:w="84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191"/>
        </w:trPr>
        <w:tc>
          <w:tcPr>
            <w:tcW w:w="58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Principal payment of note payable</w:t>
            </w:r>
          </w:p>
        </w:tc>
        <w:tc>
          <w:tcPr>
            <w:tcW w:w="8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(9.2)</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137.3 %</w:t>
            </w:r>
          </w:p>
        </w:tc>
      </w:tr>
      <w:tr>
        <w:trPr>
          <w:trHeight w:val="161"/>
        </w:trPr>
        <w:tc>
          <w:tcPr>
            <w:tcW w:w="58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 related to debt financing</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w:t>
            </w:r>
          </w:p>
        </w:tc>
      </w:tr>
      <w:tr>
        <w:trPr>
          <w:trHeight w:val="213"/>
        </w:trPr>
        <w:tc>
          <w:tcPr>
            <w:tcW w:w="5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89"/>
        </w:trPr>
        <w:tc>
          <w:tcPr>
            <w:tcW w:w="5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Dividends paid</w:t>
            </w:r>
          </w:p>
        </w:tc>
        <w:tc>
          <w:tcPr>
            <w:tcW w:w="8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Pr>
          <w:p>
            <w:pPr>
              <w:spacing w:after="0"/>
              <w:rPr>
                <w:sz w:val="16"/>
                <w:szCs w:val="16"/>
                <w:color w:val="auto"/>
              </w:rPr>
            </w:pPr>
          </w:p>
        </w:tc>
        <w:tc>
          <w:tcPr>
            <w:tcW w:w="13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(48.6)</w:t>
            </w:r>
          </w:p>
        </w:tc>
      </w:tr>
      <w:tr>
        <w:trPr>
          <w:trHeight w:val="191"/>
        </w:trPr>
        <w:tc>
          <w:tcPr>
            <w:tcW w:w="58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Payment of deferred equity offering costs</w:t>
            </w:r>
          </w:p>
        </w:tc>
        <w:tc>
          <w:tcPr>
            <w:tcW w:w="8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w:t>
            </w:r>
          </w:p>
        </w:tc>
        <w:tc>
          <w:tcPr>
            <w:tcW w:w="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58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 related to equity financing</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w:t>
            </w:r>
          </w:p>
        </w:tc>
      </w:tr>
      <w:tr>
        <w:trPr>
          <w:trHeight w:val="213"/>
        </w:trPr>
        <w:tc>
          <w:tcPr>
            <w:tcW w:w="5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89"/>
        </w:trPr>
        <w:tc>
          <w:tcPr>
            <w:tcW w:w="5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Effect of foreign exchange rate changes on cash and cash equivalents</w:t>
            </w:r>
          </w:p>
        </w:tc>
        <w:tc>
          <w:tcPr>
            <w:tcW w:w="8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(388.9)%</w:t>
            </w:r>
          </w:p>
        </w:tc>
      </w:tr>
      <w:tr>
        <w:trPr>
          <w:trHeight w:val="214"/>
        </w:trPr>
        <w:tc>
          <w:tcPr>
            <w:tcW w:w="58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r>
      <w:tr>
        <w:trPr>
          <w:trHeight w:val="160"/>
        </w:trPr>
        <w:tc>
          <w:tcPr>
            <w:tcW w:w="58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Movement</w:t>
            </w:r>
          </w:p>
        </w:tc>
        <w:tc>
          <w:tcPr>
            <w:tcW w:w="8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5.9</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2,925.6 %</w:t>
            </w:r>
          </w:p>
        </w:tc>
      </w:tr>
      <w:tr>
        <w:trPr>
          <w:trHeight w:val="20"/>
        </w:trPr>
        <w:tc>
          <w:tcPr>
            <w:tcW w:w="5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Capital Requirements</w:t>
      </w:r>
    </w:p>
    <w:p>
      <w:pPr>
        <w:spacing w:after="0" w:line="127"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4"/>
          <w:szCs w:val="14"/>
          <w:color w:val="auto"/>
        </w:rPr>
        <w:t>We are actively seeking to expand our portfolio of member companies internationally with strategically and financially attractive opportunities while adding complementary specializations. In the periods presented, we have invested, on average, $30.1 million of cash per year in M&amp;A activities. This pattern is likely to continue or be accelerated. We expect to fund the purchase price for such acquisitions with net cash from operating activities and a combination of new stock issuance and debt financing.</w:t>
      </w:r>
    </w:p>
    <w:p>
      <w:pPr>
        <w:spacing w:after="0"/>
        <w:rPr>
          <w:sz w:val="20"/>
          <w:szCs w:val="20"/>
          <w:color w:val="auto"/>
        </w:rPr>
      </w:pPr>
      <w:r>
        <w:rPr>
          <w:rFonts w:ascii="Times New Roman" w:cs="Times New Roman" w:eastAsia="Times New Roman" w:hAnsi="Times New Roman"/>
          <w:sz w:val="14"/>
          <w:szCs w:val="14"/>
          <w:color w:val="auto"/>
        </w:rPr>
        <w:t>Our capital expenditures principally include investments in office build-outs and small equipment, and have not historically been material to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Contractual Commitments and Contingencies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Contractual obligations</w:t>
      </w:r>
    </w:p>
    <w:p>
      <w:pPr>
        <w:spacing w:after="0" w:line="1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Our principal contractual obligations consist of our obligations in respect of financial indebtedness that is owed under our credit facilities. In addition, we have obligations under leases, trade and other payables, capital commitments and other contractual commitments. Finally, we have earnout obligations under acquisition agreements. We expect that our contractual commitments may evolve over time in response to current business and market conditions, with the result that future amounts due may differ considerably from the expected amounts payable set out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8255</wp:posOffset>
            </wp:positionV>
            <wp:extent cx="415036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150360" cy="698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Payments due by</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82"/>
        </w:trPr>
        <w:tc>
          <w:tcPr>
            <w:tcW w:w="4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Contractual obligations</w:t>
            </w:r>
          </w:p>
        </w:tc>
        <w:tc>
          <w:tcPr>
            <w:tcW w:w="240" w:type="dxa"/>
            <w:vAlign w:val="bottom"/>
          </w:tcPr>
          <w:p>
            <w:pPr>
              <w:spacing w:after="0"/>
              <w:rPr>
                <w:sz w:val="15"/>
                <w:szCs w:val="15"/>
                <w:color w:val="auto"/>
              </w:rPr>
            </w:pPr>
          </w:p>
        </w:tc>
        <w:tc>
          <w:tcPr>
            <w:tcW w:w="78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rPr>
              <w:t>2026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rPr>
              <w:t>2027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rPr>
              <w:t>2028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rPr>
              <w:t>2029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Thereafter</w:t>
            </w:r>
          </w:p>
        </w:tc>
        <w:tc>
          <w:tcPr>
            <w:tcW w:w="220" w:type="dxa"/>
            <w:vAlign w:val="bottom"/>
          </w:tcPr>
          <w:p>
            <w:pPr>
              <w:spacing w:after="0"/>
              <w:rPr>
                <w:sz w:val="15"/>
                <w:szCs w:val="15"/>
                <w:color w:val="auto"/>
              </w:rPr>
            </w:pPr>
          </w:p>
        </w:tc>
        <w:tc>
          <w:tcPr>
            <w:tcW w:w="80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9"/>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Debt obligations (excluding interest)</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9.1</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47.1</w:t>
            </w:r>
          </w:p>
        </w:tc>
      </w:tr>
      <w:tr>
        <w:trPr>
          <w:trHeight w:val="183"/>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lease obligations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24.2</w:t>
            </w:r>
          </w:p>
        </w:tc>
      </w:tr>
      <w:tr>
        <w:trPr>
          <w:trHeight w:val="182"/>
        </w:trPr>
        <w:tc>
          <w:tcPr>
            <w:tcW w:w="4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15.2</w:t>
            </w: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w:t>
            </w: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22.2</w:t>
            </w:r>
          </w:p>
        </w:tc>
        <w:tc>
          <w:tcPr>
            <w:tcW w:w="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w:t>
            </w: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w:t>
            </w:r>
          </w:p>
        </w:tc>
        <w:tc>
          <w:tcPr>
            <w:tcW w:w="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71.3</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Financial Obligations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Bank Credit Facilities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February 28, 2023, PPHC entered into a $17.0 million credit agreement with Bank of America (as amended, the “Credit Agreement”), providing for a senior secured line of credit of up to $3.0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million (the “2023 Facility 1”) and a senior secured term loan of $14.0 million (the “2023 Facility 2,” and, together with the 2023 Facility 1, the “2023 Facilities”). In April 2024 and June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respectively, we entered into two amendments to the Credit Agreement, which provided for two additional term loans in the amounts of, respectively, $6.0 million (the “2024 Term Loan A”)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$19.0 million (the “2024 Term Loan B,” and, together with the 2024 Term Loan A, the “2024 Facilities”). In January 2025, we entered into a third amendment, creating an additional term loan of 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$24.0 million (the “2025 Term Loan,” and, together with the 2023 Facilities and the 2024 Facilities, the “Bank Credit Facilities”),</w:t>
      </w:r>
    </w:p>
    <w:p>
      <w:pPr>
        <w:spacing w:after="0" w:line="12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interest rate under the 2023 Facilities is the Secured Overnight Financing Rate (“SOFR”) as administered by the Federal Reserve Bank of New York, plus 2.25% per annum. The interest rate under the 2024 Facilities is SOFR plus 2.60% per annum, and the interest rate under the 2025 Term Loan is SOFR plus 2.60% per annum. Interest is payable monthly.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Bank Credit Facilities are collateralized by substantially all of our assets.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Bank Credit Facilities mature on March 31, 2029.</w:t>
      </w:r>
    </w:p>
    <w:p>
      <w:pPr>
        <w:spacing w:after="0" w:line="136"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As of December 31, 2025, there was no balance outstanding under the 2023 Facility 1; $4.1 million outstanding under the 2023 Facility 2; $5.0 million outstanding under the 2024 Term Loan A; $15.7 million under the 2024 Term Loan B; and $22.4 million outstanding under the 2025 Term Loan C.</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under the 2023 Facility 1, we had capacity to re-borrow up to $3.0 million, less any outstanding letters of credit, or 80% of our eligible receivables, whichever is less.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the principal maturities under the Bank Credit Facilities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4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i w:val="1"/>
                <w:iCs w:val="1"/>
                <w:color w:val="auto"/>
              </w:rPr>
              <w:t>($ millions)</w:t>
            </w: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4"/>
        </w:trPr>
        <w:tc>
          <w:tcPr>
            <w:tcW w:w="414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6"/>
          </w:tcPr>
          <w:p>
            <w:pPr>
              <w:jc w:val="center"/>
              <w:ind w:left="933"/>
              <w:spacing w:after="0"/>
              <w:rPr>
                <w:sz w:val="20"/>
                <w:szCs w:val="20"/>
                <w:color w:val="auto"/>
              </w:rPr>
            </w:pPr>
            <w:r>
              <w:rPr>
                <w:rFonts w:ascii="Times New Roman" w:cs="Times New Roman" w:eastAsia="Times New Roman" w:hAnsi="Times New Roman"/>
                <w:sz w:val="11"/>
                <w:szCs w:val="11"/>
                <w:b w:val="1"/>
                <w:bCs w:val="1"/>
                <w:color w:val="auto"/>
              </w:rPr>
              <w:t>Principal amount maturing under</w:t>
            </w: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0"/>
        </w:trPr>
        <w:tc>
          <w:tcPr>
            <w:tcW w:w="4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 Facility 2</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2024 Term Loan A</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2024 Term Loan B</w:t>
            </w:r>
          </w:p>
        </w:tc>
        <w:tc>
          <w:tcPr>
            <w:tcW w:w="14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2025 Term Loan C</w:t>
            </w:r>
          </w:p>
        </w:tc>
        <w:tc>
          <w:tcPr>
            <w:tcW w:w="300" w:type="dxa"/>
            <w:vAlign w:val="bottom"/>
          </w:tcPr>
          <w:p>
            <w:pPr>
              <w:spacing w:after="0"/>
              <w:rPr>
                <w:sz w:val="13"/>
                <w:szCs w:val="13"/>
                <w:color w:val="auto"/>
              </w:rPr>
            </w:pPr>
          </w:p>
        </w:tc>
        <w:tc>
          <w:tcPr>
            <w:tcW w:w="980" w:type="dxa"/>
            <w:vAlign w:val="bottom"/>
          </w:tcPr>
          <w:p>
            <w:pPr>
              <w:jc w:val="right"/>
              <w:ind w:right="432"/>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88"/>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020" w:type="dxa"/>
            <w:vAlign w:val="bottom"/>
            <w:tcBorders>
              <w:top w:val="single" w:sz="8" w:color="auto"/>
              <w:bottom w:val="single" w:sz="8" w:color="CCEEFF"/>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191"/>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0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22"/>
        </w:trPr>
        <w:tc>
          <w:tcPr>
            <w:tcW w:w="4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2"/>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0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191"/>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02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22"/>
        </w:trPr>
        <w:tc>
          <w:tcPr>
            <w:tcW w:w="4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Borders>
              <w:bottom w:val="single" w:sz="8" w:color="CCEEFF"/>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47.1</w:t>
            </w:r>
          </w:p>
        </w:tc>
      </w:tr>
      <w:tr>
        <w:trPr>
          <w:trHeight w:val="20"/>
        </w:trPr>
        <w:tc>
          <w:tcPr>
            <w:tcW w:w="4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Contingent Obligations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Earnout obligations</w:t>
      </w:r>
    </w:p>
    <w:p>
      <w:pPr>
        <w:spacing w:after="0" w:line="136"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As part of the typical structure our acquisition of new member companies, we are committed to making certain earnout payments. These earnout payments are based on a profit-driven formula and only materialize if the acquired company realizes profit growth after the date of completion. Payments are typically made in a mix of cash and shares. In turn, each of these components of earnout payments may be subject to further vesting requirements and employment conditions, which keeps the recipients financially committed to business.</w:t>
      </w:r>
    </w:p>
    <w:p>
      <w:pPr>
        <w:spacing w:after="0" w:line="9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In relation to these earnout payments, as of December 31, 2025, we have recorded liabilities of $25.0 million on our balance sheet, spread across the line items Contingent Consideration and Other Liabilities. This number reflects both the estimated foreseen nominal payments, and also discount factors, probability of reaching goals, and fair value estimates. In nominal terms, over the period 2026-2030, based on expected performance of each of the acquired companies, we anticipate having to make earnout payments of $78.3 million, of which $44.6 million would be payable in cash, and the remainder in shares. The maximum earnout liability over that same period, which would only be reached if each acquisition meets very aggressive profit growth targets, would be $141.9 million, of which $83.7 million would be payable in cash, and the remainder in shares. Generally, in order for an acquisition to reach maximum earnout payments, it would need to grow its profit by 25-30% annually over the earnout period. For more information, see Note 11. Post-combination Compensation Charge and Note 15. Fair Value Measurement</w:t>
      </w: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summarizes nominal earnout expectations: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rPr>
              <w:t>($ in millions)</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61"/>
        </w:trPr>
        <w:tc>
          <w:tcPr>
            <w:tcW w:w="53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3"/>
                <w:szCs w:val="13"/>
                <w:color w:val="auto"/>
              </w:rPr>
              <w:t>2026</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2027</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rPr>
              <w:t>2028</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9"/>
              </w:rPr>
              <w:t>2029</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rPr>
              <w:t>2030</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Expected earnout payments in Cash</w:t>
            </w:r>
          </w:p>
        </w:tc>
        <w:tc>
          <w:tcPr>
            <w:tcW w:w="68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12.0</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44.6</w:t>
            </w:r>
          </w:p>
        </w:tc>
      </w:tr>
      <w:tr>
        <w:trPr>
          <w:trHeight w:val="16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Expected earnout payments in PPHC stock</w:t>
            </w:r>
          </w:p>
        </w:tc>
        <w:tc>
          <w:tcPr>
            <w:tcW w:w="68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4.6</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22.8</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0.8</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33.7</w:t>
            </w:r>
          </w:p>
        </w:tc>
      </w:tr>
      <w:tr>
        <w:trPr>
          <w:trHeight w:val="16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Expected earnout payments - total</w:t>
            </w:r>
          </w:p>
        </w:tc>
        <w:tc>
          <w:tcPr>
            <w:tcW w:w="68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16.6</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78.3</w:t>
            </w:r>
          </w:p>
        </w:tc>
      </w:tr>
      <w:tr>
        <w:trPr>
          <w:trHeight w:val="170"/>
        </w:trPr>
        <w:tc>
          <w:tcPr>
            <w:tcW w:w="5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Maximum earnout payments in Cash</w:t>
            </w:r>
          </w:p>
        </w:tc>
        <w:tc>
          <w:tcPr>
            <w:tcW w:w="68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15.4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w:t>
            </w:r>
          </w:p>
        </w:tc>
      </w:tr>
      <w:tr>
        <w:trPr>
          <w:trHeight w:val="168"/>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Maximum earnout payments in PPHC stock</w:t>
            </w:r>
          </w:p>
        </w:tc>
        <w:tc>
          <w:tcPr>
            <w:tcW w:w="68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58.2</w:t>
            </w:r>
          </w:p>
        </w:tc>
      </w:tr>
      <w:tr>
        <w:trPr>
          <w:trHeight w:val="16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Maximum earnout payments - total</w:t>
            </w:r>
          </w:p>
        </w:tc>
        <w:tc>
          <w:tcPr>
            <w:tcW w:w="68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22.4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141.9</w:t>
            </w:r>
          </w:p>
        </w:tc>
      </w:tr>
    </w:tbl>
    <w:p>
      <w:pPr>
        <w:spacing w:after="0" w:line="187"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We expect that our contingent obligations may evolve over time in response to current business and market conditions, with the result that future amounts due may differ considerably from the expected amounts payable set out in the table above.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Off-Balance Sheet Arrangements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years ended December 31, 2025 and 2024, we did not engage in any other off-balance sheet commitments, contingencies or arrangements as set forth in Item 303(b) of Regulation S-K.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Acquisitions and Valuation of Contingent Consideration and Post-Combination Liabilities</w:t>
      </w:r>
    </w:p>
    <w:p>
      <w:pPr>
        <w:spacing w:after="0" w:line="13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 xml:space="preserve">The Company accounts for business acquisitions using the acquisition method. Under ASC 805 -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a business combination occurs when an entity obtains control of a “business.” The Company determines whether or not the gross assets acquired meet the definition of a business. If they meet this criteria, the Company accounts for the transaction as a business acquisition. If they do not meet this criteria the transaction is accounted for as an asset acquisition. The consideration transferred in the acquisition is generally measured at fair value, as are the identifiable net assets acquired. Any goodwill that arises is tested annually for impairment. Any gain on a bargain purchase is recognized in profit or loss immediately. Transaction costs are expensed as incurred, except if related to the issuance of debt or equity securities.</w:t>
      </w:r>
    </w:p>
    <w:p>
      <w:pPr>
        <w:spacing w:after="0" w:line="9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Contingent consideration is measured at fair value at the date of acquisition and is based on expected cash flow of the acquisition target discounted over time using an observable market discount rate. The Company generally utilizes outside valuation experts to determine the amount of contingent consideration. We estimate and record the acquisition date fair value of contingent consideration as part of purchase price consideration for business acquisitions. Additionally, each reporting period, we estimate changes in the fair value of contingent consideration and recognizes any change in fair value in our consolidated statements of operations and other comprehensive loss. The fair value of the contingent consideration is generally measured using Monte Carlo simulations to estimate the achievement and amount of certain future operating results. The Monte Carlo simulations utilize subjective assumptions and estimates including; expected volatility of future operating results, discount rates applicable to future results, and expected growth rates. Future revisions to these assumptions could materially change the estimate of the fair value of contingent consideration and, therefore, materially affect our future financial results. The contingent consideration liability is to be settled through a combination of cash and shares of Common Stock based on each respective purchase agreement and the amount ultimately paid is dependent on the achievement of certain future operating results. During the years ended December 31, 2025 and 2024, the Company recorded a loss from the change of fair value of contingent consideration of $5.1 million and $1.9 million, respectively, which are included in operating expenses on the accompanying consolidated statement of operations.</w:t>
      </w:r>
    </w:p>
    <w:p>
      <w:pPr>
        <w:spacing w:after="0" w:line="27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4"/>
          <w:szCs w:val="14"/>
          <w:color w:val="auto"/>
        </w:rPr>
        <w:t xml:space="preserve">Furthermore, the contractual purchase price of business acquisitions may include future payments to the seller that are not accounted for under ASC 805 -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due the existence of contractual vesting periods or claw-backs. Such future payments are generally recorded as liabilities of the Company. When a component of the contractual purchase price of an acquired business is determined not to be consideration transferred in exchange for the business, and should therefore be accounted for as a separate transaction (such as compensation costs), the Company may, on occasion, recognize a gain on bargain purchase price because the accounting purchase price is not inclusive of such a separate component of the contractual purchase price when being compared to the fair value of the identifiable net assets of the acquired business which, in some cases, may result in the fair value of the identifiable net assets being in excess of the fair value of the purchase price consideration.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0" w:name="page61"/>
    <w:bookmarkEnd w:id="60"/>
    <w:p>
      <w:pPr>
        <w:spacing w:after="0" w:line="264" w:lineRule="auto"/>
        <w:rPr>
          <w:sz w:val="20"/>
          <w:szCs w:val="20"/>
          <w:color w:val="auto"/>
        </w:rPr>
      </w:pPr>
      <w:r>
        <w:rPr>
          <w:rFonts w:ascii="Times New Roman" w:cs="Times New Roman" w:eastAsia="Times New Roman" w:hAnsi="Times New Roman"/>
          <w:sz w:val="14"/>
          <w:szCs w:val="14"/>
          <w:color w:val="auto"/>
        </w:rPr>
        <w:t>The Company records post-combination business expense over the vesting or claw-back period applicable for these future payments on a straight-line basis with the amount accrued recorded as other liability. The future earnout payments that have vesting or claw-back rights tied to employment will reduce the amount of the other liability when paid. The fair value of other liabilities is measured using the same Monte Carlo simulation with the same assumptions and inputs as outlined above for contingent consideration liabilities. The fair value of post-combination compensation obligations is remeasured at each reporting date, any changes in fair value are reflected as a cumulative catch up to post-combination compensation expense in the period in which the remeasurement occurred.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Indefinite-lived Intangible Assets</w:t>
      </w:r>
    </w:p>
    <w:p>
      <w:pPr>
        <w:spacing w:after="0" w:line="13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 xml:space="preserve">Goodwill represents the excess of the purchase price in a business combination over the fair value of the net tangible and intangible assets acquired and the indefinite-lived intangible assets which consists of trademarks. In accordance with ASC 350 - </w:t>
      </w:r>
      <w:r>
        <w:rPr>
          <w:rFonts w:ascii="Times New Roman" w:cs="Times New Roman" w:eastAsia="Times New Roman" w:hAnsi="Times New Roman"/>
          <w:sz w:val="14"/>
          <w:szCs w:val="14"/>
          <w:i w:val="1"/>
          <w:iCs w:val="1"/>
          <w:color w:val="auto"/>
        </w:rPr>
        <w:t>Intangibles - Goodwill and Other</w:t>
      </w:r>
      <w:r>
        <w:rPr>
          <w:rFonts w:ascii="Times New Roman" w:cs="Times New Roman" w:eastAsia="Times New Roman" w:hAnsi="Times New Roman"/>
          <w:sz w:val="14"/>
          <w:szCs w:val="14"/>
          <w:color w:val="auto"/>
        </w:rPr>
        <w:t>, goodwill and indefinite-lived intangible assets are not amortized but tested for impairment annually and whenever events or changes in circumstances indicate that the carrying value of an asset may not be recoverable. We test our goodwill and indefinite-lived intangible assets for impairment annually on October 1st using the qualitative assessment. The process of evaluating the potential impairment is highly subjective and requires the application of significant judgment. We first assess whether there are qualitative factors which would indicate that it is more likely than not that the fair value of a reporting unit is less than its carrying value. We consider events and circumstances such as, but not limited to, macroeconomic conditions, industry and market conditions, our overall financial performance, and other relevant entity-specific events. If the qualitative assessment indicates that the fair value of the reporting unit is less than its carrying amount, a quantitative assessment is performed.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Intangible Assets</w:t>
      </w:r>
    </w:p>
    <w:p>
      <w:pPr>
        <w:spacing w:after="0" w:line="13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Our definite-lived intangible assets consist of customer relationships, developed technology and non-compete agreements that have been acquired through various acquisitions. Our indefinite lived assets consist of trademarks that have been acquired through various acquisitions. The Company generally utilizes third-party specialists to determine the fair value of acquired intangible assets. The valuation of these assets involves significant judgment and the use of valuation techniques such as the multi-period excess earnings method and the with-and-without method. These models require management to make assumptions about future revenue growth, customer attrition, operating margins, contributory asset charges, and discount rates. Changes in these assumptions could materially affect the fair value assigned to the intangible assets and the related amortization expense.</w:t>
      </w:r>
    </w:p>
    <w:p>
      <w:pPr>
        <w:spacing w:after="0" w:line="10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amortize these assets over their estimated useful lives. Long-lived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for an amount by which the carrying amount of the asset exceeds the fair value of the asset.</w:t>
      </w:r>
    </w:p>
    <w:p>
      <w:pPr>
        <w:spacing w:after="0" w:line="98"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Based on the results of our assessment, we recorded a non-cash impairment charges of $0.3 million and $2.6 million to trade names and customer relationships during the year ended December 31, 2025. We have not recorded any impairment charges related to long-lived assets for the year ended December 31,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Long-term incentive program charges</w:t>
      </w:r>
    </w:p>
    <w:p>
      <w:pPr>
        <w:spacing w:after="0" w:line="138"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The fair value of awards issued under the Company’s long-term incentive program are estimated using a Black-Scholes option-pricing model on the grant date which requires subjective inputs. The inputs of the option-pricing model include the fair market value of our Common Stock based on the closing price as reported on the date of the grant on the AIM, estimated dividend yield, expected stock price volatility and risk-free interest rate. The amortization of the fair value of share-based awards is recorded as an expense in the statement of operations either within salaries and other personnel costs within cost of services or to general and administrative costs.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61" w:name="page62"/>
    <w:bookmarkEnd w:id="61"/>
    <w:p>
      <w:pPr>
        <w:spacing w:after="0" w:line="264" w:lineRule="auto"/>
        <w:rPr>
          <w:sz w:val="20"/>
          <w:szCs w:val="20"/>
          <w:color w:val="auto"/>
        </w:rPr>
      </w:pPr>
      <w:r>
        <w:rPr>
          <w:rFonts w:ascii="Times New Roman" w:cs="Times New Roman" w:eastAsia="Times New Roman" w:hAnsi="Times New Roman"/>
          <w:sz w:val="14"/>
          <w:szCs w:val="14"/>
          <w:color w:val="auto"/>
        </w:rPr>
        <w:t>Revenue is recognized when control of services provided are transferred to customers and in an amount that reflects the consideration we expect to be entitled to in exchange for those services. A significant portion of our contracts with customers have termination clauses that give the customer the right to terminate the contract without cause with one month's notice without any substantial penalty. As such, we believe such contracts should be treated as a month-to-month contract as this reflects the non-cancellable period of performance. For performance obligations for which we act as an agent, we record revenue as the net amount of the gross billings less amounts remitted to the third party.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38"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Business combinations are accounted for using the acquisition method which requires that the assets acquired and liabilities assumed be recorded as of the date of the acquisition at their respective fair values with limited exceptions. Assets acquired and liabilities assumed in a business combination that arise from contingencies are generally recognized at fair value. If fair value cannot be determined, the asset or liability is recognized if probable and reasonably estimable; if these criteria are not met, no asset or liability is recognized. Transaction costs are expensed as incurred. The operating results of the acquired business are reflected in our consolidated financial statements after the date of acquisition.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exposed to market risks from interest rates, which could affect our operating results, financial position and cash flows. We manage this risk through our regular operating activities.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3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We are exposed to interest rate risk on borrowings under our Bank Credit Facilities. The interest rate under the 2023 Facilities is the Secured Overnight Financing Rate (“SOFR”) as administered by the Federal Reserve Bank of New York, plus 2.25% per annum. The interest rate under the 2024 Facilities is SOFR plus 2.60% per annum, and the interest rate under the 2025 Term Loan is SOFR plus 2.60% per annum. Interest is payable monthly. A 100 basis-point increase in Bank Credit Facilities debt balances outstanding as of December 31, 2025 would increase our annual interest expense by $0.5 million.</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200" w:lineRule="exact"/>
        <w:rPr>
          <w:sz w:val="20"/>
          <w:szCs w:val="20"/>
          <w:color w:val="auto"/>
        </w:rPr>
      </w:pPr>
    </w:p>
    <w:p>
      <w:pPr>
        <w:spacing w:after="0" w:line="38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8.</w:t>
      </w:r>
      <w:r>
        <w:rPr>
          <w:sz w:val="20"/>
          <w:szCs w:val="20"/>
          <w:color w:val="auto"/>
        </w:rPr>
        <w:tab/>
      </w:r>
      <w:r>
        <w:rPr>
          <w:rFonts w:ascii="Times New Roman" w:cs="Times New Roman" w:eastAsia="Times New Roman" w:hAnsi="Times New Roman"/>
          <w:sz w:val="13"/>
          <w:szCs w:val="13"/>
          <w:b w:val="1"/>
          <w:bCs w:val="1"/>
          <w:color w:val="auto"/>
        </w:rPr>
        <w:t>FINANCIAL STATEMENTS AND SUPPLEMENTARY DATA</w:t>
      </w:r>
    </w:p>
    <w:p>
      <w:pPr>
        <w:spacing w:after="0" w:line="47" w:lineRule="exact"/>
        <w:rPr>
          <w:sz w:val="20"/>
          <w:szCs w:val="20"/>
          <w:color w:val="auto"/>
        </w:rPr>
      </w:pPr>
    </w:p>
    <w:tbl>
      <w:tblPr>
        <w:tblLayout w:type="fixed"/>
        <w:tblInd w:w="1100" w:type="dxa"/>
        <w:tblCellMar>
          <w:top w:w="0" w:type="dxa"/>
          <w:left w:w="0" w:type="dxa"/>
          <w:bottom w:w="0" w:type="dxa"/>
          <w:right w:w="0" w:type="dxa"/>
        </w:tblCellMar>
      </w:tblPr>
      <w:tr>
        <w:trPr>
          <w:trHeight w:val="224"/>
        </w:trPr>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Page</w:t>
            </w:r>
          </w:p>
        </w:tc>
      </w:tr>
      <w:tr>
        <w:trPr>
          <w:trHeight w:val="149"/>
        </w:trPr>
        <w:tc>
          <w:tcPr>
            <w:tcW w:w="9340" w:type="dxa"/>
            <w:vAlign w:val="bottom"/>
            <w:gridSpan w:val="25"/>
          </w:tcPr>
          <w:p>
            <w:pPr>
              <w:spacing w:after="0" w:line="129" w:lineRule="exact"/>
              <w:rPr>
                <w:sz w:val="20"/>
                <w:szCs w:val="20"/>
                <w:color w:val="auto"/>
              </w:rPr>
            </w:pPr>
            <w:r>
              <w:rPr>
                <w:rFonts w:ascii="Times New Roman" w:cs="Times New Roman" w:eastAsia="Times New Roman" w:hAnsi="Times New Roman"/>
                <w:sz w:val="14"/>
                <w:szCs w:val="14"/>
                <w:color w:val="0000FF"/>
              </w:rPr>
              <w:t>Report of Independent Registered Public Accounting Firm (PCAOB numbe</w:t>
            </w:r>
            <w:r>
              <w:rPr>
                <w:rFonts w:ascii="Times New Roman" w:cs="Times New Roman" w:eastAsia="Times New Roman" w:hAnsi="Times New Roman"/>
                <w:sz w:val="14"/>
                <w:szCs w:val="14"/>
                <w:color w:val="2317DE"/>
              </w:rPr>
              <w:t>r 686)</w:t>
            </w:r>
          </w:p>
        </w:tc>
        <w:tc>
          <w:tcPr>
            <w:tcW w:w="8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61</w:t>
            </w:r>
          </w:p>
        </w:tc>
      </w:tr>
      <w:tr>
        <w:trPr>
          <w:trHeight w:val="203"/>
        </w:trPr>
        <w:tc>
          <w:tcPr>
            <w:tcW w:w="42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Consolidated Balance Sheets as of December 31, 2025 and 2024</w:t>
            </w:r>
          </w:p>
        </w:tc>
        <w:tc>
          <w:tcPr>
            <w:tcW w:w="340" w:type="dxa"/>
            <w:vAlign w:val="bottom"/>
            <w:tcBorders>
              <w:top w:val="single" w:sz="8" w:color="2317DE"/>
            </w:tcBorders>
          </w:tcPr>
          <w:p>
            <w:pPr>
              <w:spacing w:after="0"/>
              <w:rPr>
                <w:sz w:val="17"/>
                <w:szCs w:val="17"/>
                <w:color w:val="auto"/>
              </w:rPr>
            </w:pPr>
          </w:p>
        </w:tc>
        <w:tc>
          <w:tcPr>
            <w:tcW w:w="4720" w:type="dxa"/>
            <w:vAlign w:val="bottom"/>
            <w:gridSpan w:val="4"/>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r>
      <w:tr>
        <w:trPr>
          <w:trHeight w:val="20"/>
        </w:trPr>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2"/>
        </w:trPr>
        <w:tc>
          <w:tcPr>
            <w:tcW w:w="93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Consolidated Statements of Operations and Comprehensive Loss for the Years Ended December 31, 2025 and 2024</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r>
      <w:tr>
        <w:trPr>
          <w:trHeight w:val="192"/>
        </w:trPr>
        <w:tc>
          <w:tcPr>
            <w:tcW w:w="5620" w:type="dxa"/>
            <w:vAlign w:val="bottom"/>
            <w:tcBorders>
              <w:top w:val="single" w:sz="8" w:color="0000FF"/>
              <w:bottom w:val="single" w:sz="8" w:color="0000FF"/>
            </w:tcBorders>
            <w:gridSpan w:val="23"/>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 for the Years Ended December 31, 2025 and 2024</w:t>
            </w:r>
          </w:p>
        </w:tc>
        <w:tc>
          <w:tcPr>
            <w:tcW w:w="900" w:type="dxa"/>
            <w:vAlign w:val="bottom"/>
            <w:tcBorders>
              <w:top w:val="single" w:sz="8" w:color="0000FF"/>
            </w:tcBorders>
          </w:tcPr>
          <w:p>
            <w:pPr>
              <w:spacing w:after="0"/>
              <w:rPr>
                <w:sz w:val="16"/>
                <w:szCs w:val="16"/>
                <w:color w:val="auto"/>
              </w:rPr>
            </w:pPr>
          </w:p>
        </w:tc>
        <w:tc>
          <w:tcPr>
            <w:tcW w:w="28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65</w:t>
            </w:r>
          </w:p>
        </w:tc>
      </w:tr>
      <w:tr>
        <w:trPr>
          <w:trHeight w:val="192"/>
        </w:trPr>
        <w:tc>
          <w:tcPr>
            <w:tcW w:w="93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2025 and 2024</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67</w:t>
            </w:r>
          </w:p>
        </w:tc>
      </w:tr>
      <w:tr>
        <w:trPr>
          <w:trHeight w:val="224"/>
        </w:trPr>
        <w:tc>
          <w:tcPr>
            <w:tcW w:w="510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tc>
        <w:tc>
          <w:tcPr>
            <w:tcW w:w="424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r>
      <w:tr>
        <w:trPr>
          <w:trHeight w:val="181"/>
        </w:trPr>
        <w:tc>
          <w:tcPr>
            <w:tcW w:w="160" w:type="dxa"/>
            <w:vAlign w:val="bottom"/>
          </w:tcPr>
          <w:p>
            <w:pPr>
              <w:spacing w:after="0"/>
              <w:rPr>
                <w:sz w:val="15"/>
                <w:szCs w:val="15"/>
                <w:color w:val="auto"/>
              </w:rPr>
            </w:pPr>
          </w:p>
        </w:tc>
        <w:tc>
          <w:tcPr>
            <w:tcW w:w="91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Note 1. Organization and Significant Accounting Policies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68</w:t>
            </w:r>
          </w:p>
        </w:tc>
      </w:tr>
      <w:tr>
        <w:trPr>
          <w:trHeight w:val="192"/>
        </w:trPr>
        <w:tc>
          <w:tcPr>
            <w:tcW w:w="160" w:type="dxa"/>
            <w:vAlign w:val="bottom"/>
          </w:tcPr>
          <w:p>
            <w:pPr>
              <w:spacing w:after="0"/>
              <w:rPr>
                <w:sz w:val="16"/>
                <w:szCs w:val="16"/>
                <w:color w:val="auto"/>
              </w:rPr>
            </w:pPr>
          </w:p>
        </w:tc>
        <w:tc>
          <w:tcPr>
            <w:tcW w:w="24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Note 2. New Accounting Pronouncements</w:t>
            </w:r>
          </w:p>
        </w:tc>
        <w:tc>
          <w:tcPr>
            <w:tcW w:w="860" w:type="dxa"/>
            <w:vAlign w:val="bottom"/>
            <w:tcBorders>
              <w:top w:val="single" w:sz="8" w:color="0000FF"/>
            </w:tcBorders>
            <w:gridSpan w:val="4"/>
          </w:tcPr>
          <w:p>
            <w:pPr>
              <w:spacing w:after="0"/>
              <w:rPr>
                <w:sz w:val="16"/>
                <w:szCs w:val="16"/>
                <w:color w:val="auto"/>
              </w:rPr>
            </w:pPr>
          </w:p>
        </w:tc>
        <w:tc>
          <w:tcPr>
            <w:tcW w:w="5920" w:type="dxa"/>
            <w:vAlign w:val="bottom"/>
            <w:gridSpan w:val="8"/>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73</w:t>
            </w:r>
          </w:p>
        </w:tc>
      </w:tr>
      <w:tr>
        <w:trPr>
          <w:trHeight w:val="192"/>
        </w:trPr>
        <w:tc>
          <w:tcPr>
            <w:tcW w:w="160" w:type="dxa"/>
            <w:vAlign w:val="bottom"/>
          </w:tcPr>
          <w:p>
            <w:pPr>
              <w:spacing w:after="0"/>
              <w:rPr>
                <w:sz w:val="16"/>
                <w:szCs w:val="16"/>
                <w:color w:val="auto"/>
              </w:rPr>
            </w:pPr>
          </w:p>
        </w:tc>
        <w:tc>
          <w:tcPr>
            <w:tcW w:w="91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Note 3. Basic and Diluted Earnings (Loss) Per Share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74</w:t>
            </w:r>
          </w:p>
        </w:tc>
      </w:tr>
      <w:tr>
        <w:trPr>
          <w:trHeight w:val="192"/>
        </w:trPr>
        <w:tc>
          <w:tcPr>
            <w:tcW w:w="160" w:type="dxa"/>
            <w:vAlign w:val="bottom"/>
          </w:tcPr>
          <w:p>
            <w:pPr>
              <w:spacing w:after="0"/>
              <w:rPr>
                <w:sz w:val="16"/>
                <w:szCs w:val="16"/>
                <w:color w:val="auto"/>
              </w:rPr>
            </w:pPr>
          </w:p>
        </w:tc>
        <w:tc>
          <w:tcPr>
            <w:tcW w:w="29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Note 4. Revenue</w:t>
            </w:r>
          </w:p>
        </w:tc>
        <w:tc>
          <w:tcPr>
            <w:tcW w:w="6200" w:type="dxa"/>
            <w:vAlign w:val="bottom"/>
            <w:gridSpan w:val="9"/>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75</w:t>
            </w:r>
          </w:p>
        </w:tc>
      </w:tr>
      <w:tr>
        <w:trPr>
          <w:trHeight w:val="20"/>
        </w:trPr>
        <w:tc>
          <w:tcPr>
            <w:tcW w:w="16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91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Note 5. Contract Balances and Allowance for Expected Credit Losses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75</w:t>
            </w:r>
          </w:p>
        </w:tc>
      </w:tr>
      <w:tr>
        <w:trPr>
          <w:trHeight w:val="192"/>
        </w:trPr>
        <w:tc>
          <w:tcPr>
            <w:tcW w:w="160" w:type="dxa"/>
            <w:vAlign w:val="bottom"/>
          </w:tcPr>
          <w:p>
            <w:pPr>
              <w:spacing w:after="0"/>
              <w:rPr>
                <w:sz w:val="16"/>
                <w:szCs w:val="16"/>
                <w:color w:val="auto"/>
              </w:rPr>
            </w:pPr>
          </w:p>
        </w:tc>
        <w:tc>
          <w:tcPr>
            <w:tcW w:w="22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Note 6. Goodwill and Intangible Assets</w:t>
            </w:r>
          </w:p>
        </w:tc>
        <w:tc>
          <w:tcPr>
            <w:tcW w:w="1700" w:type="dxa"/>
            <w:vAlign w:val="bottom"/>
            <w:tcBorders>
              <w:top w:val="single" w:sz="8" w:color="0000FF"/>
            </w:tcBorders>
            <w:gridSpan w:val="8"/>
          </w:tcPr>
          <w:p>
            <w:pPr>
              <w:spacing w:after="0"/>
              <w:rPr>
                <w:sz w:val="16"/>
                <w:szCs w:val="16"/>
                <w:color w:val="auto"/>
              </w:rPr>
            </w:pPr>
          </w:p>
        </w:tc>
        <w:tc>
          <w:tcPr>
            <w:tcW w:w="5240" w:type="dxa"/>
            <w:vAlign w:val="bottom"/>
            <w:gridSpan w:val="6"/>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76</w:t>
            </w:r>
          </w:p>
        </w:tc>
      </w:tr>
      <w:tr>
        <w:trPr>
          <w:trHeight w:val="192"/>
        </w:trPr>
        <w:tc>
          <w:tcPr>
            <w:tcW w:w="160" w:type="dxa"/>
            <w:vAlign w:val="bottom"/>
          </w:tcPr>
          <w:p>
            <w:pPr>
              <w:spacing w:after="0"/>
              <w:rPr>
                <w:sz w:val="16"/>
                <w:szCs w:val="16"/>
                <w:color w:val="auto"/>
              </w:rPr>
            </w:pPr>
          </w:p>
        </w:tc>
        <w:tc>
          <w:tcPr>
            <w:tcW w:w="28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Note 7. Accounts Payable and Accrued Expenses</w:t>
            </w:r>
          </w:p>
        </w:tc>
        <w:tc>
          <w:tcPr>
            <w:tcW w:w="6380" w:type="dxa"/>
            <w:vAlign w:val="bottom"/>
            <w:gridSpan w:val="11"/>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77</w:t>
            </w:r>
          </w:p>
        </w:tc>
      </w:tr>
      <w:tr>
        <w:trPr>
          <w:trHeight w:val="192"/>
        </w:trPr>
        <w:tc>
          <w:tcPr>
            <w:tcW w:w="160" w:type="dxa"/>
            <w:vAlign w:val="bottom"/>
          </w:tcPr>
          <w:p>
            <w:pPr>
              <w:spacing w:after="0"/>
              <w:rPr>
                <w:sz w:val="16"/>
                <w:szCs w:val="16"/>
                <w:color w:val="auto"/>
              </w:rPr>
            </w:pPr>
          </w:p>
        </w:tc>
        <w:tc>
          <w:tcPr>
            <w:tcW w:w="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8"/>
              </w:rPr>
              <w:t>Note 8. Leases</w:t>
            </w:r>
          </w:p>
        </w:tc>
        <w:tc>
          <w:tcPr>
            <w:tcW w:w="8340" w:type="dxa"/>
            <w:vAlign w:val="bottom"/>
            <w:gridSpan w:val="23"/>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78</w:t>
            </w:r>
          </w:p>
        </w:tc>
      </w:tr>
      <w:tr>
        <w:trPr>
          <w:trHeight w:val="192"/>
        </w:trPr>
        <w:tc>
          <w:tcPr>
            <w:tcW w:w="160" w:type="dxa"/>
            <w:vAlign w:val="bottom"/>
          </w:tcPr>
          <w:p>
            <w:pPr>
              <w:spacing w:after="0"/>
              <w:rPr>
                <w:sz w:val="16"/>
                <w:szCs w:val="16"/>
                <w:color w:val="auto"/>
              </w:rPr>
            </w:pPr>
          </w:p>
        </w:tc>
        <w:tc>
          <w:tcPr>
            <w:tcW w:w="91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Note 9. Notes Payable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78</w:t>
            </w:r>
          </w:p>
        </w:tc>
      </w:tr>
      <w:tr>
        <w:trPr>
          <w:trHeight w:val="20"/>
        </w:trPr>
        <w:tc>
          <w:tcPr>
            <w:tcW w:w="160" w:type="dxa"/>
            <w:vAlign w:val="bottom"/>
          </w:tcPr>
          <w:p>
            <w:pPr>
              <w:spacing w:after="0" w:line="20" w:lineRule="exact"/>
              <w:rPr>
                <w:sz w:val="1"/>
                <w:szCs w:val="1"/>
                <w:color w:val="auto"/>
              </w:rPr>
            </w:pPr>
          </w:p>
        </w:tc>
        <w:tc>
          <w:tcPr>
            <w:tcW w:w="126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36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91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Note 10. Share-based Accounting Charge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79</w:t>
            </w:r>
          </w:p>
        </w:tc>
      </w:tr>
      <w:tr>
        <w:trPr>
          <w:trHeight w:val="20"/>
        </w:trPr>
        <w:tc>
          <w:tcPr>
            <w:tcW w:w="160" w:type="dxa"/>
            <w:vAlign w:val="bottom"/>
          </w:tcPr>
          <w:p>
            <w:pPr>
              <w:spacing w:after="0" w:line="20" w:lineRule="exact"/>
              <w:rPr>
                <w:sz w:val="1"/>
                <w:szCs w:val="1"/>
                <w:color w:val="auto"/>
              </w:rPr>
            </w:pPr>
          </w:p>
        </w:tc>
        <w:tc>
          <w:tcPr>
            <w:tcW w:w="126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36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8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Note 11. Post-combination Compensation Charge</w:t>
            </w:r>
          </w:p>
        </w:tc>
        <w:tc>
          <w:tcPr>
            <w:tcW w:w="6360" w:type="dxa"/>
            <w:vAlign w:val="bottom"/>
            <w:gridSpan w:val="10"/>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80</w:t>
            </w:r>
          </w:p>
        </w:tc>
      </w:tr>
      <w:tr>
        <w:trPr>
          <w:trHeight w:val="192"/>
        </w:trPr>
        <w:tc>
          <w:tcPr>
            <w:tcW w:w="160" w:type="dxa"/>
            <w:vAlign w:val="bottom"/>
          </w:tcPr>
          <w:p>
            <w:pPr>
              <w:spacing w:after="0"/>
              <w:rPr>
                <w:sz w:val="16"/>
                <w:szCs w:val="16"/>
                <w:color w:val="auto"/>
              </w:rPr>
            </w:pPr>
          </w:p>
        </w:tc>
        <w:tc>
          <w:tcPr>
            <w:tcW w:w="91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Note 12. Related Party Transactions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82</w:t>
            </w:r>
          </w:p>
        </w:tc>
      </w:tr>
      <w:tr>
        <w:trPr>
          <w:trHeight w:val="192"/>
        </w:trPr>
        <w:tc>
          <w:tcPr>
            <w:tcW w:w="160" w:type="dxa"/>
            <w:vAlign w:val="bottom"/>
          </w:tcPr>
          <w:p>
            <w:pPr>
              <w:spacing w:after="0"/>
              <w:rPr>
                <w:sz w:val="16"/>
                <w:szCs w:val="16"/>
                <w:color w:val="auto"/>
              </w:rPr>
            </w:pPr>
          </w:p>
        </w:tc>
        <w:tc>
          <w:tcPr>
            <w:tcW w:w="20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Note 13. Omnibus Incentive Plan</w:t>
            </w:r>
          </w:p>
        </w:tc>
        <w:tc>
          <w:tcPr>
            <w:tcW w:w="7140" w:type="dxa"/>
            <w:vAlign w:val="bottom"/>
            <w:gridSpan w:val="15"/>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82</w:t>
            </w:r>
          </w:p>
        </w:tc>
      </w:tr>
      <w:tr>
        <w:trPr>
          <w:trHeight w:val="192"/>
        </w:trPr>
        <w:tc>
          <w:tcPr>
            <w:tcW w:w="160" w:type="dxa"/>
            <w:vAlign w:val="bottom"/>
          </w:tcPr>
          <w:p>
            <w:pPr>
              <w:spacing w:after="0"/>
              <w:rPr>
                <w:sz w:val="16"/>
                <w:szCs w:val="16"/>
                <w:color w:val="auto"/>
              </w:rPr>
            </w:pPr>
          </w:p>
        </w:tc>
        <w:tc>
          <w:tcPr>
            <w:tcW w:w="18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Note 14. Income Taxes</w:t>
            </w:r>
          </w:p>
        </w:tc>
        <w:tc>
          <w:tcPr>
            <w:tcW w:w="7300" w:type="dxa"/>
            <w:vAlign w:val="bottom"/>
            <w:gridSpan w:val="17"/>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87</w:t>
            </w:r>
          </w:p>
        </w:tc>
      </w:tr>
      <w:tr>
        <w:trPr>
          <w:trHeight w:val="20"/>
        </w:trPr>
        <w:tc>
          <w:tcPr>
            <w:tcW w:w="160" w:type="dxa"/>
            <w:vAlign w:val="bottom"/>
          </w:tcPr>
          <w:p>
            <w:pPr>
              <w:spacing w:after="0" w:line="20" w:lineRule="exact"/>
              <w:rPr>
                <w:sz w:val="1"/>
                <w:szCs w:val="1"/>
                <w:color w:val="auto"/>
              </w:rPr>
            </w:pPr>
          </w:p>
        </w:tc>
        <w:tc>
          <w:tcPr>
            <w:tcW w:w="126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60" w:type="dxa"/>
            <w:vAlign w:val="bottom"/>
            <w:gridSpan w:val="1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19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9"/>
              </w:rPr>
              <w:t>Note 15. Fair Value Measurement</w:t>
            </w:r>
          </w:p>
        </w:tc>
        <w:tc>
          <w:tcPr>
            <w:tcW w:w="7260" w:type="dxa"/>
            <w:vAlign w:val="bottom"/>
            <w:gridSpan w:val="16"/>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90</w:t>
            </w:r>
          </w:p>
        </w:tc>
      </w:tr>
      <w:tr>
        <w:trPr>
          <w:trHeight w:val="192"/>
        </w:trPr>
        <w:tc>
          <w:tcPr>
            <w:tcW w:w="160" w:type="dxa"/>
            <w:vAlign w:val="bottom"/>
          </w:tcPr>
          <w:p>
            <w:pPr>
              <w:spacing w:after="0"/>
              <w:rPr>
                <w:sz w:val="16"/>
                <w:szCs w:val="16"/>
                <w:color w:val="auto"/>
              </w:rPr>
            </w:pPr>
          </w:p>
        </w:tc>
        <w:tc>
          <w:tcPr>
            <w:tcW w:w="1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Note 16. Acquisitions</w:t>
            </w:r>
          </w:p>
        </w:tc>
        <w:tc>
          <w:tcPr>
            <w:tcW w:w="7920" w:type="dxa"/>
            <w:vAlign w:val="bottom"/>
            <w:gridSpan w:val="21"/>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92</w:t>
            </w:r>
          </w:p>
        </w:tc>
      </w:tr>
      <w:tr>
        <w:trPr>
          <w:trHeight w:val="192"/>
        </w:trPr>
        <w:tc>
          <w:tcPr>
            <w:tcW w:w="160" w:type="dxa"/>
            <w:vAlign w:val="bottom"/>
          </w:tcPr>
          <w:p>
            <w:pPr>
              <w:spacing w:after="0"/>
              <w:rPr>
                <w:sz w:val="16"/>
                <w:szCs w:val="16"/>
                <w:color w:val="auto"/>
              </w:rPr>
            </w:pPr>
          </w:p>
        </w:tc>
        <w:tc>
          <w:tcPr>
            <w:tcW w:w="1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Note 17. Segment Reporting</w:t>
            </w:r>
          </w:p>
        </w:tc>
        <w:tc>
          <w:tcPr>
            <w:tcW w:w="7560" w:type="dxa"/>
            <w:vAlign w:val="bottom"/>
            <w:gridSpan w:val="19"/>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98</w:t>
            </w:r>
          </w:p>
        </w:tc>
      </w:tr>
      <w:tr>
        <w:trPr>
          <w:trHeight w:val="192"/>
        </w:trPr>
        <w:tc>
          <w:tcPr>
            <w:tcW w:w="160" w:type="dxa"/>
            <w:vAlign w:val="bottom"/>
          </w:tcPr>
          <w:p>
            <w:pPr>
              <w:spacing w:after="0"/>
              <w:rPr>
                <w:sz w:val="16"/>
                <w:szCs w:val="16"/>
                <w:color w:val="auto"/>
              </w:rPr>
            </w:pPr>
          </w:p>
        </w:tc>
        <w:tc>
          <w:tcPr>
            <w:tcW w:w="1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9"/>
              </w:rPr>
              <w:t>Note 18. Stockholders' Equity</w:t>
            </w:r>
          </w:p>
        </w:tc>
        <w:tc>
          <w:tcPr>
            <w:tcW w:w="7480" w:type="dxa"/>
            <w:vAlign w:val="bottom"/>
            <w:gridSpan w:val="18"/>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r>
      <w:tr>
        <w:trPr>
          <w:trHeight w:val="192"/>
        </w:trPr>
        <w:tc>
          <w:tcPr>
            <w:tcW w:w="160" w:type="dxa"/>
            <w:vAlign w:val="bottom"/>
          </w:tcPr>
          <w:p>
            <w:pPr>
              <w:spacing w:after="0"/>
              <w:rPr>
                <w:sz w:val="16"/>
                <w:szCs w:val="16"/>
                <w:color w:val="auto"/>
              </w:rPr>
            </w:pPr>
          </w:p>
        </w:tc>
        <w:tc>
          <w:tcPr>
            <w:tcW w:w="1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Note 19. Subsequent Events</w:t>
            </w:r>
          </w:p>
        </w:tc>
        <w:tc>
          <w:tcPr>
            <w:tcW w:w="7580" w:type="dxa"/>
            <w:vAlign w:val="bottom"/>
            <w:gridSpan w:val="20"/>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Board of Directors, and Audit Committee of</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Public Policy Holding Company, Inc.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Washington, D.C.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Consolidated Financial Statements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Public Policy Holding Company, Inc. and Subsidiaries (the “Company”) as of December 31, 2025 and 2024, the related consolidated statements of operations and comprehensive loss, stockholders’ equity, and cash flows for each of the years in the two-year period ended December 31, 2025, and the related notes (collectively referred to as the “consolidated financial statements”). In our opinion, the consolidated financial statements referred to above present fairly, in all material respects, the financial position of the Company as of December 31, 2025 and 2024, and the results of its operations and their cash flows for each of the years in the two-year period ended December 31, 2025, in conformity with accounting principles generally accepted in the United States of America.</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200" w:lineRule="exact"/>
        <w:rPr>
          <w:sz w:val="20"/>
          <w:szCs w:val="20"/>
          <w:color w:val="auto"/>
        </w:rPr>
      </w:pPr>
    </w:p>
    <w:p>
      <w:pPr>
        <w:spacing w:after="0" w:line="3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Forvis Mazars,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Tysons, Virginia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31,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(Amounts in thousands, except share and per share data)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20" w:type="dxa"/>
            <w:vAlign w:val="bottom"/>
          </w:tcPr>
          <w:p>
            <w:pPr>
              <w:spacing w:after="0"/>
              <w:rPr>
                <w:sz w:val="14"/>
                <w:szCs w:val="14"/>
                <w:color w:val="auto"/>
              </w:rPr>
            </w:pPr>
          </w:p>
        </w:tc>
        <w:tc>
          <w:tcPr>
            <w:tcW w:w="154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84"/>
        </w:trPr>
        <w:tc>
          <w:tcPr>
            <w:tcW w:w="75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20,436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14,536</w:t>
            </w:r>
          </w:p>
        </w:tc>
        <w:tc>
          <w:tcPr>
            <w:tcW w:w="0" w:type="dxa"/>
            <w:vAlign w:val="bottom"/>
          </w:tcPr>
          <w:p>
            <w:pPr>
              <w:spacing w:after="0"/>
              <w:rPr>
                <w:sz w:val="1"/>
                <w:szCs w:val="1"/>
                <w:color w:val="auto"/>
              </w:rPr>
            </w:pPr>
          </w:p>
        </w:tc>
      </w:tr>
      <w:tr>
        <w:trPr>
          <w:trHeight w:val="183"/>
        </w:trPr>
        <w:tc>
          <w:tcPr>
            <w:tcW w:w="7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Contract receivables, net</w:t>
            </w: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21,851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18,285</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Notes receivable - related parties, current portion</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w:t>
            </w:r>
          </w:p>
        </w:tc>
        <w:tc>
          <w:tcPr>
            <w:tcW w:w="0" w:type="dxa"/>
            <w:vAlign w:val="bottom"/>
          </w:tcPr>
          <w:p>
            <w:pPr>
              <w:spacing w:after="0"/>
              <w:rPr>
                <w:sz w:val="1"/>
                <w:szCs w:val="1"/>
                <w:color w:val="auto"/>
              </w:rPr>
            </w:pPr>
          </w:p>
        </w:tc>
      </w:tr>
      <w:tr>
        <w:trPr>
          <w:trHeight w:val="183"/>
        </w:trPr>
        <w:tc>
          <w:tcPr>
            <w:tcW w:w="7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taxes receivable</w:t>
            </w: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2,068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3,185</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Prepaid post-combination compensation, current portion</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3,585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6,070</w:t>
            </w:r>
          </w:p>
        </w:tc>
        <w:tc>
          <w:tcPr>
            <w:tcW w:w="0" w:type="dxa"/>
            <w:vAlign w:val="bottom"/>
          </w:tcPr>
          <w:p>
            <w:pPr>
              <w:spacing w:after="0"/>
              <w:rPr>
                <w:sz w:val="1"/>
                <w:szCs w:val="1"/>
                <w:color w:val="auto"/>
              </w:rPr>
            </w:pPr>
          </w:p>
        </w:tc>
      </w:tr>
      <w:tr>
        <w:trPr>
          <w:trHeight w:val="183"/>
        </w:trPr>
        <w:tc>
          <w:tcPr>
            <w:tcW w:w="7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9,598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2,726</w:t>
            </w:r>
          </w:p>
        </w:tc>
        <w:tc>
          <w:tcPr>
            <w:tcW w:w="0" w:type="dxa"/>
            <w:vAlign w:val="bottom"/>
          </w:tcPr>
          <w:p>
            <w:pPr>
              <w:spacing w:after="0"/>
              <w:rPr>
                <w:sz w:val="1"/>
                <w:szCs w:val="1"/>
                <w:color w:val="auto"/>
              </w:rPr>
            </w:pPr>
          </w:p>
        </w:tc>
      </w:tr>
      <w:tr>
        <w:trPr>
          <w:trHeight w:val="191"/>
        </w:trPr>
        <w:tc>
          <w:tcPr>
            <w:tcW w:w="75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Amounts due from related parties</w:t>
            </w:r>
          </w:p>
        </w:tc>
        <w:tc>
          <w:tcPr>
            <w:tcW w:w="24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266</w:t>
            </w: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current assets</w:t>
            </w: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58,554</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45,665</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Property and equipment at cost, less accumulated depreciation</w:t>
            </w: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w:t>
            </w:r>
          </w:p>
        </w:tc>
        <w:tc>
          <w:tcPr>
            <w:tcW w:w="0" w:type="dxa"/>
            <w:vAlign w:val="bottom"/>
          </w:tcPr>
          <w:p>
            <w:pPr>
              <w:spacing w:after="0"/>
              <w:rPr>
                <w:sz w:val="1"/>
                <w:szCs w:val="1"/>
                <w:color w:val="auto"/>
              </w:rPr>
            </w:pPr>
          </w:p>
        </w:tc>
      </w:tr>
      <w:tr>
        <w:trPr>
          <w:trHeight w:val="183"/>
        </w:trPr>
        <w:tc>
          <w:tcPr>
            <w:tcW w:w="7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Notes receivable - related parties, long term</w:t>
            </w: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Operating lease right of use asset</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18,829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18,428</w:t>
            </w:r>
          </w:p>
        </w:tc>
        <w:tc>
          <w:tcPr>
            <w:tcW w:w="0" w:type="dxa"/>
            <w:vAlign w:val="bottom"/>
          </w:tcPr>
          <w:p>
            <w:pPr>
              <w:spacing w:after="0"/>
              <w:rPr>
                <w:sz w:val="1"/>
                <w:szCs w:val="1"/>
                <w:color w:val="auto"/>
              </w:rPr>
            </w:pPr>
          </w:p>
        </w:tc>
      </w:tr>
      <w:tr>
        <w:trPr>
          <w:trHeight w:val="183"/>
        </w:trPr>
        <w:tc>
          <w:tcPr>
            <w:tcW w:w="7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Goodwill</w:t>
            </w: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56,990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64,308</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intangible assets, net of accumulated amortization</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37,113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32,144</w:t>
            </w:r>
          </w:p>
        </w:tc>
        <w:tc>
          <w:tcPr>
            <w:tcW w:w="0" w:type="dxa"/>
            <w:vAlign w:val="bottom"/>
          </w:tcPr>
          <w:p>
            <w:pPr>
              <w:spacing w:after="0"/>
              <w:rPr>
                <w:sz w:val="1"/>
                <w:szCs w:val="1"/>
                <w:color w:val="auto"/>
              </w:rPr>
            </w:pPr>
          </w:p>
        </w:tc>
      </w:tr>
      <w:tr>
        <w:trPr>
          <w:trHeight w:val="183"/>
        </w:trPr>
        <w:tc>
          <w:tcPr>
            <w:tcW w:w="7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income tax asset</w:t>
            </w: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24,600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11,038</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Prepaid post-combination compensation, long term</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4,692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w:t>
            </w:r>
          </w:p>
        </w:tc>
        <w:tc>
          <w:tcPr>
            <w:tcW w:w="0" w:type="dxa"/>
            <w:vAlign w:val="bottom"/>
          </w:tcPr>
          <w:p>
            <w:pPr>
              <w:spacing w:after="0"/>
              <w:rPr>
                <w:sz w:val="1"/>
                <w:szCs w:val="1"/>
                <w:color w:val="auto"/>
              </w:rPr>
            </w:pPr>
          </w:p>
        </w:tc>
      </w:tr>
      <w:tr>
        <w:trPr>
          <w:trHeight w:val="183"/>
        </w:trPr>
        <w:tc>
          <w:tcPr>
            <w:tcW w:w="7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Other long-term assets</w:t>
            </w: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276</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0" w:type="dxa"/>
            <w:vAlign w:val="bottom"/>
          </w:tcPr>
          <w:p>
            <w:pPr>
              <w:spacing w:after="0"/>
              <w:rPr>
                <w:sz w:val="1"/>
                <w:szCs w:val="1"/>
                <w:color w:val="auto"/>
              </w:rPr>
            </w:pPr>
          </w:p>
        </w:tc>
      </w:tr>
      <w:tr>
        <w:trPr>
          <w:trHeight w:val="182"/>
        </w:trPr>
        <w:tc>
          <w:tcPr>
            <w:tcW w:w="7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202,552</w:t>
            </w: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174,461</w:t>
            </w:r>
          </w:p>
        </w:tc>
        <w:tc>
          <w:tcPr>
            <w:tcW w:w="0" w:type="dxa"/>
            <w:vAlign w:val="bottom"/>
          </w:tcPr>
          <w:p>
            <w:pPr>
              <w:spacing w:after="0"/>
              <w:rPr>
                <w:sz w:val="1"/>
                <w:szCs w:val="1"/>
                <w:color w:val="auto"/>
              </w:rPr>
            </w:pPr>
          </w:p>
        </w:tc>
      </w:tr>
      <w:tr>
        <w:trPr>
          <w:trHeight w:val="182"/>
        </w:trPr>
        <w:tc>
          <w:tcPr>
            <w:tcW w:w="7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EQUITY:</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30,819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20,044</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Amounts owed to related parties</w:t>
            </w:r>
          </w:p>
        </w:tc>
        <w:tc>
          <w:tcPr>
            <w:tcW w:w="2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w:t>
            </w:r>
          </w:p>
        </w:tc>
        <w:tc>
          <w:tcPr>
            <w:tcW w:w="0" w:type="dxa"/>
            <w:vAlign w:val="bottom"/>
          </w:tcPr>
          <w:p>
            <w:pPr>
              <w:spacing w:after="0"/>
              <w:rPr>
                <w:sz w:val="1"/>
                <w:szCs w:val="1"/>
                <w:color w:val="auto"/>
              </w:rPr>
            </w:pPr>
          </w:p>
        </w:tc>
      </w:tr>
      <w:tr>
        <w:trPr>
          <w:trHeight w:val="183"/>
        </w:trPr>
        <w:tc>
          <w:tcPr>
            <w:tcW w:w="7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revenue</w:t>
            </w: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3,310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3,150</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Operating lease liability, current portion</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5,070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4,827</w:t>
            </w:r>
          </w:p>
        </w:tc>
        <w:tc>
          <w:tcPr>
            <w:tcW w:w="0" w:type="dxa"/>
            <w:vAlign w:val="bottom"/>
          </w:tcPr>
          <w:p>
            <w:pPr>
              <w:spacing w:after="0"/>
              <w:rPr>
                <w:sz w:val="1"/>
                <w:szCs w:val="1"/>
                <w:color w:val="auto"/>
              </w:rPr>
            </w:pPr>
          </w:p>
        </w:tc>
      </w:tr>
      <w:tr>
        <w:trPr>
          <w:trHeight w:val="183"/>
        </w:trPr>
        <w:tc>
          <w:tcPr>
            <w:tcW w:w="7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Contingent consideration, current portion</w:t>
            </w: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3,134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2,093</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liability, current portion</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1,441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1,135</w:t>
            </w:r>
          </w:p>
        </w:tc>
        <w:tc>
          <w:tcPr>
            <w:tcW w:w="0" w:type="dxa"/>
            <w:vAlign w:val="bottom"/>
          </w:tcPr>
          <w:p>
            <w:pPr>
              <w:spacing w:after="0"/>
              <w:rPr>
                <w:sz w:val="1"/>
                <w:szCs w:val="1"/>
                <w:color w:val="auto"/>
              </w:rPr>
            </w:pPr>
          </w:p>
        </w:tc>
      </w:tr>
      <w:tr>
        <w:trPr>
          <w:trHeight w:val="183"/>
        </w:trPr>
        <w:tc>
          <w:tcPr>
            <w:tcW w:w="7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Notes payable, current portion, net</w:t>
            </w: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9,082</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6,031</w:t>
            </w:r>
          </w:p>
        </w:tc>
        <w:tc>
          <w:tcPr>
            <w:tcW w:w="0" w:type="dxa"/>
            <w:vAlign w:val="bottom"/>
          </w:tcPr>
          <w:p>
            <w:pPr>
              <w:spacing w:after="0"/>
              <w:rPr>
                <w:sz w:val="1"/>
                <w:szCs w:val="1"/>
                <w:color w:val="auto"/>
              </w:rPr>
            </w:pPr>
          </w:p>
        </w:tc>
      </w:tr>
      <w:tr>
        <w:trPr>
          <w:trHeight w:val="182"/>
        </w:trPr>
        <w:tc>
          <w:tcPr>
            <w:tcW w:w="7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52,856</w:t>
            </w: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37,836</w:t>
            </w:r>
          </w:p>
        </w:tc>
        <w:tc>
          <w:tcPr>
            <w:tcW w:w="0" w:type="dxa"/>
            <w:vAlign w:val="bottom"/>
          </w:tcPr>
          <w:p>
            <w:pPr>
              <w:spacing w:after="0"/>
              <w:rPr>
                <w:sz w:val="1"/>
                <w:szCs w:val="1"/>
                <w:color w:val="auto"/>
              </w:rPr>
            </w:pPr>
          </w:p>
        </w:tc>
      </w:tr>
      <w:tr>
        <w:trPr>
          <w:trHeight w:val="182"/>
        </w:trPr>
        <w:tc>
          <w:tcPr>
            <w:tcW w:w="7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Notes payable, long term, net</w:t>
            </w: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37,906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26,014</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Contingent consideration, long term</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9,864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8,803</w:t>
            </w:r>
          </w:p>
        </w:tc>
        <w:tc>
          <w:tcPr>
            <w:tcW w:w="0" w:type="dxa"/>
            <w:vAlign w:val="bottom"/>
          </w:tcPr>
          <w:p>
            <w:pPr>
              <w:spacing w:after="0"/>
              <w:rPr>
                <w:sz w:val="1"/>
                <w:szCs w:val="1"/>
                <w:color w:val="auto"/>
              </w:rPr>
            </w:pPr>
          </w:p>
        </w:tc>
      </w:tr>
      <w:tr>
        <w:trPr>
          <w:trHeight w:val="183"/>
        </w:trPr>
        <w:tc>
          <w:tcPr>
            <w:tcW w:w="7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liability, long term</w:t>
            </w: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10,553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3,745</w:t>
            </w:r>
          </w:p>
        </w:tc>
        <w:tc>
          <w:tcPr>
            <w:tcW w:w="0" w:type="dxa"/>
            <w:vAlign w:val="bottom"/>
          </w:tcPr>
          <w:p>
            <w:pPr>
              <w:spacing w:after="0"/>
              <w:rPr>
                <w:sz w:val="1"/>
                <w:szCs w:val="1"/>
                <w:color w:val="auto"/>
              </w:rPr>
            </w:pPr>
          </w:p>
        </w:tc>
      </w:tr>
      <w:tr>
        <w:trPr>
          <w:trHeight w:val="191"/>
        </w:trPr>
        <w:tc>
          <w:tcPr>
            <w:tcW w:w="75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Operating lease liability, long term</w:t>
            </w:r>
          </w:p>
        </w:tc>
        <w:tc>
          <w:tcPr>
            <w:tcW w:w="24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16,469</w:t>
            </w: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16,808</w:t>
            </w:r>
          </w:p>
        </w:tc>
        <w:tc>
          <w:tcPr>
            <w:tcW w:w="0" w:type="dxa"/>
            <w:vAlign w:val="bottom"/>
          </w:tcPr>
          <w:p>
            <w:pPr>
              <w:spacing w:after="0"/>
              <w:rPr>
                <w:sz w:val="1"/>
                <w:szCs w:val="1"/>
                <w:color w:val="auto"/>
              </w:rPr>
            </w:pPr>
          </w:p>
        </w:tc>
      </w:tr>
      <w:tr>
        <w:trPr>
          <w:trHeight w:val="182"/>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liabilities</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127,648</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93,206</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 $0.001 par value, 1,000,000,000 shares authorized, 25,174,492 and 24,017,599 shares issued and outstanding as of December</w:t>
            </w:r>
          </w:p>
        </w:tc>
        <w:tc>
          <w:tcPr>
            <w:tcW w:w="24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31, 2025, and 2024, respectively</w:t>
            </w:r>
          </w:p>
        </w:tc>
        <w:tc>
          <w:tcPr>
            <w:tcW w:w="24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237,075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197,489</w:t>
            </w:r>
          </w:p>
        </w:tc>
        <w:tc>
          <w:tcPr>
            <w:tcW w:w="0" w:type="dxa"/>
            <w:vAlign w:val="bottom"/>
          </w:tcPr>
          <w:p>
            <w:pPr>
              <w:spacing w:after="0"/>
              <w:rPr>
                <w:sz w:val="1"/>
                <w:szCs w:val="1"/>
                <w:color w:val="auto"/>
              </w:rPr>
            </w:pPr>
          </w:p>
        </w:tc>
      </w:tr>
      <w:tr>
        <w:trPr>
          <w:trHeight w:val="183"/>
        </w:trPr>
        <w:tc>
          <w:tcPr>
            <w:tcW w:w="7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Accumulated deficit</w:t>
            </w: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(163,381)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(115,721)</w:t>
            </w:r>
          </w:p>
        </w:tc>
        <w:tc>
          <w:tcPr>
            <w:tcW w:w="0" w:type="dxa"/>
            <w:vAlign w:val="bottom"/>
          </w:tcPr>
          <w:p>
            <w:pPr>
              <w:spacing w:after="0"/>
              <w:rPr>
                <w:sz w:val="1"/>
                <w:szCs w:val="1"/>
                <w:color w:val="auto"/>
              </w:rPr>
            </w:pPr>
          </w:p>
        </w:tc>
      </w:tr>
      <w:tr>
        <w:trPr>
          <w:trHeight w:val="191"/>
        </w:trPr>
        <w:tc>
          <w:tcPr>
            <w:tcW w:w="75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24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1,186</w:t>
            </w: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w:t>
            </w:r>
          </w:p>
        </w:tc>
        <w:tc>
          <w:tcPr>
            <w:tcW w:w="0" w:type="dxa"/>
            <w:vAlign w:val="bottom"/>
          </w:tcPr>
          <w:p>
            <w:pPr>
              <w:spacing w:after="0"/>
              <w:rPr>
                <w:sz w:val="1"/>
                <w:szCs w:val="1"/>
                <w:color w:val="auto"/>
              </w:rPr>
            </w:pPr>
          </w:p>
        </w:tc>
      </w:tr>
      <w:tr>
        <w:trPr>
          <w:trHeight w:val="182"/>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74,904</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81,255</w:t>
            </w:r>
          </w:p>
        </w:tc>
        <w:tc>
          <w:tcPr>
            <w:tcW w:w="0" w:type="dxa"/>
            <w:vAlign w:val="bottom"/>
          </w:tcPr>
          <w:p>
            <w:pPr>
              <w:spacing w:after="0"/>
              <w:rPr>
                <w:sz w:val="1"/>
                <w:szCs w:val="1"/>
                <w:color w:val="auto"/>
              </w:rPr>
            </w:pPr>
          </w:p>
        </w:tc>
      </w:tr>
      <w:tr>
        <w:trPr>
          <w:trHeight w:val="182"/>
        </w:trPr>
        <w:tc>
          <w:tcPr>
            <w:tcW w:w="7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EQUITY</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202,552</w:t>
            </w: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174,461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the consolidated financial statements are an integral part of these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(Amounts in thousands, except share and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60" w:type="dxa"/>
            <w:vAlign w:val="bottom"/>
          </w:tcPr>
          <w:p>
            <w:pPr>
              <w:spacing w:after="0"/>
              <w:rPr>
                <w:sz w:val="15"/>
                <w:szCs w:val="15"/>
                <w:color w:val="auto"/>
              </w:rPr>
            </w:pPr>
          </w:p>
        </w:tc>
        <w:tc>
          <w:tcPr>
            <w:tcW w:w="268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640" w:type="dxa"/>
            <w:vAlign w:val="bottom"/>
            <w:tcBorders>
              <w:bottom w:val="single" w:sz="8" w:color="auto"/>
            </w:tcBorders>
          </w:tcPr>
          <w:p>
            <w:pPr>
              <w:spacing w:after="0"/>
              <w:rPr>
                <w:sz w:val="15"/>
                <w:szCs w:val="15"/>
                <w:color w:val="auto"/>
              </w:rPr>
            </w:pPr>
          </w:p>
        </w:tc>
      </w:tr>
      <w:tr>
        <w:trPr>
          <w:trHeight w:val="182"/>
        </w:trPr>
        <w:tc>
          <w:tcPr>
            <w:tcW w:w="79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640" w:type="dxa"/>
            <w:vAlign w:val="bottom"/>
            <w:tcBorders>
              <w:bottom w:val="single" w:sz="8" w:color="auto"/>
            </w:tcBorders>
          </w:tcPr>
          <w:p>
            <w:pPr>
              <w:spacing w:after="0"/>
              <w:rPr>
                <w:sz w:val="15"/>
                <w:szCs w:val="15"/>
                <w:color w:val="auto"/>
              </w:rPr>
            </w:pPr>
          </w:p>
        </w:tc>
      </w:tr>
      <w:tr>
        <w:trPr>
          <w:trHeight w:val="18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98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186,541</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149,563</w:t>
            </w:r>
          </w:p>
        </w:tc>
      </w:tr>
      <w:tr>
        <w:trPr>
          <w:trHeight w:val="183"/>
        </w:trPr>
        <w:tc>
          <w:tcPr>
            <w:tcW w:w="7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9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Salaries and other personnel costs</w:t>
            </w: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160,800</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126,640</w:t>
            </w:r>
          </w:p>
        </w:tc>
      </w:tr>
      <w:tr>
        <w:trPr>
          <w:trHeight w:val="183"/>
        </w:trPr>
        <w:tc>
          <w:tcPr>
            <w:tcW w:w="7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Office and other direct costs</w:t>
            </w:r>
          </w:p>
        </w:tc>
        <w:tc>
          <w:tcPr>
            <w:tcW w:w="9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7,094</w:t>
            </w: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5,651</w:t>
            </w:r>
          </w:p>
        </w:tc>
      </w:tr>
      <w:tr>
        <w:trPr>
          <w:trHeight w:val="182"/>
        </w:trPr>
        <w:tc>
          <w:tcPr>
            <w:tcW w:w="79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Cost of services</w:t>
            </w:r>
          </w:p>
        </w:tc>
        <w:tc>
          <w:tcPr>
            <w:tcW w:w="9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167,894</w:t>
            </w:r>
          </w:p>
        </w:tc>
        <w:tc>
          <w:tcPr>
            <w:tcW w:w="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132,291</w:t>
            </w:r>
          </w:p>
        </w:tc>
      </w:tr>
      <w:tr>
        <w:trPr>
          <w:trHeight w:val="182"/>
        </w:trPr>
        <w:tc>
          <w:tcPr>
            <w:tcW w:w="7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Salaries, general and administrative</w:t>
            </w:r>
          </w:p>
        </w:tc>
        <w:tc>
          <w:tcPr>
            <w:tcW w:w="9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31,791</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26,837</w:t>
            </w:r>
          </w:p>
        </w:tc>
      </w:tr>
      <w:tr>
        <w:trPr>
          <w:trHeight w:val="19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Mergers and acquisitions expense</w:t>
            </w: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837</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2,434</w:t>
            </w:r>
          </w:p>
        </w:tc>
      </w:tr>
      <w:tr>
        <w:trPr>
          <w:trHeight w:val="183"/>
        </w:trPr>
        <w:tc>
          <w:tcPr>
            <w:tcW w:w="7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 expense</w:t>
            </w:r>
          </w:p>
        </w:tc>
        <w:tc>
          <w:tcPr>
            <w:tcW w:w="9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5,676</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4,244</w:t>
            </w:r>
          </w:p>
        </w:tc>
      </w:tr>
      <w:tr>
        <w:trPr>
          <w:trHeight w:val="19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 on impairment of intangible assets</w:t>
            </w: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2,890</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7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 on impairment of goodwill</w:t>
            </w:r>
          </w:p>
        </w:tc>
        <w:tc>
          <w:tcPr>
            <w:tcW w:w="9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6,219</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1"/>
        </w:trPr>
        <w:tc>
          <w:tcPr>
            <w:tcW w:w="7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fair value of contingent consideration</w:t>
            </w:r>
          </w:p>
        </w:tc>
        <w:tc>
          <w:tcPr>
            <w:tcW w:w="9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5,147</w:t>
            </w: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1,910</w:t>
            </w:r>
          </w:p>
        </w:tc>
      </w:tr>
      <w:tr>
        <w:trPr>
          <w:trHeight w:val="182"/>
        </w:trPr>
        <w:tc>
          <w:tcPr>
            <w:tcW w:w="7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9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220,454</w:t>
            </w: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167,716</w:t>
            </w:r>
          </w:p>
        </w:tc>
      </w:tr>
      <w:tr>
        <w:trPr>
          <w:trHeight w:val="182"/>
        </w:trPr>
        <w:tc>
          <w:tcPr>
            <w:tcW w:w="7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Loss from operations</w:t>
            </w:r>
          </w:p>
        </w:tc>
        <w:tc>
          <w:tcPr>
            <w:tcW w:w="9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(33,913)</w:t>
            </w:r>
          </w:p>
        </w:tc>
        <w:tc>
          <w:tcPr>
            <w:tcW w:w="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(18,153)</w:t>
            </w:r>
          </w:p>
        </w:tc>
      </w:tr>
      <w:tr>
        <w:trPr>
          <w:trHeight w:val="182"/>
        </w:trPr>
        <w:tc>
          <w:tcPr>
            <w:tcW w:w="7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 on bargain purchase</w:t>
            </w:r>
          </w:p>
        </w:tc>
        <w:tc>
          <w:tcPr>
            <w:tcW w:w="9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2,043</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2,464</w:t>
            </w:r>
          </w:p>
        </w:tc>
      </w:tr>
      <w:tr>
        <w:trPr>
          <w:trHeight w:val="19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income</w:t>
            </w: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r>
      <w:tr>
        <w:trPr>
          <w:trHeight w:val="183"/>
        </w:trPr>
        <w:tc>
          <w:tcPr>
            <w:tcW w:w="7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9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(3,402)</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w:t>
            </w:r>
          </w:p>
        </w:tc>
      </w:tr>
      <w:tr>
        <w:trPr>
          <w:trHeight w:val="191"/>
        </w:trPr>
        <w:tc>
          <w:tcPr>
            <w:tcW w:w="7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income, net</w:t>
            </w:r>
          </w:p>
        </w:tc>
        <w:tc>
          <w:tcPr>
            <w:tcW w:w="9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589</w:t>
            </w: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7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before income taxes</w:t>
            </w:r>
          </w:p>
        </w:tc>
        <w:tc>
          <w:tcPr>
            <w:tcW w:w="9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(34,602)</w:t>
            </w: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(17,412)</w:t>
            </w:r>
          </w:p>
        </w:tc>
      </w:tr>
      <w:tr>
        <w:trPr>
          <w:trHeight w:val="182"/>
        </w:trPr>
        <w:tc>
          <w:tcPr>
            <w:tcW w:w="79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Income tax expense</w:t>
            </w:r>
          </w:p>
        </w:tc>
        <w:tc>
          <w:tcPr>
            <w:tcW w:w="9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(4,399)</w:t>
            </w:r>
          </w:p>
        </w:tc>
        <w:tc>
          <w:tcPr>
            <w:tcW w:w="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(6,545)</w:t>
            </w:r>
          </w:p>
        </w:tc>
      </w:tr>
      <w:tr>
        <w:trPr>
          <w:trHeight w:val="182"/>
        </w:trPr>
        <w:tc>
          <w:tcPr>
            <w:tcW w:w="7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980" w:type="dxa"/>
            <w:vAlign w:val="bottom"/>
            <w:tcBorders>
              <w:bottom w:val="single" w:sz="8" w:color="auto"/>
            </w:tcBorders>
          </w:tcPr>
          <w:p>
            <w:pPr>
              <w:jc w:val="right"/>
              <w:ind w:right="8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(39,001)</w:t>
            </w: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(23,957)</w:t>
            </w:r>
          </w:p>
        </w:tc>
      </w:tr>
      <w:tr>
        <w:trPr>
          <w:trHeight w:val="200"/>
        </w:trPr>
        <w:tc>
          <w:tcPr>
            <w:tcW w:w="7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3"/>
        </w:trPr>
        <w:tc>
          <w:tcPr>
            <w:tcW w:w="79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loss per share attributable to common stockholders, basic and diluted</w:t>
            </w:r>
          </w:p>
        </w:tc>
        <w:tc>
          <w:tcPr>
            <w:tcW w:w="980" w:type="dxa"/>
            <w:vAlign w:val="bottom"/>
          </w:tcPr>
          <w:p>
            <w:pPr>
              <w:jc w:val="right"/>
              <w:ind w:right="8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(2.37)</w:t>
            </w:r>
          </w:p>
        </w:tc>
        <w:tc>
          <w:tcPr>
            <w:tcW w:w="80" w:type="dxa"/>
            <w:vAlign w:val="bottom"/>
          </w:tcPr>
          <w:p>
            <w:pPr>
              <w:spacing w:after="0"/>
              <w:rPr>
                <w:sz w:val="15"/>
                <w:szCs w:val="15"/>
                <w:color w:val="auto"/>
              </w:rPr>
            </w:pPr>
          </w:p>
        </w:tc>
        <w:tc>
          <w:tcPr>
            <w:tcW w:w="980" w:type="dxa"/>
            <w:vAlign w:val="bottom"/>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r>
      <w:tr>
        <w:trPr>
          <w:trHeight w:val="199"/>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Basic and diluted</w:t>
            </w: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17,466,665</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13,409,160</w:t>
            </w:r>
          </w:p>
        </w:tc>
      </w:tr>
      <w:tr>
        <w:trPr>
          <w:trHeight w:val="212"/>
        </w:trPr>
        <w:tc>
          <w:tcPr>
            <w:tcW w:w="7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1"/>
        </w:trPr>
        <w:tc>
          <w:tcPr>
            <w:tcW w:w="7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(39,001)</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(23,957)</w:t>
            </w:r>
          </w:p>
        </w:tc>
      </w:tr>
      <w:tr>
        <w:trPr>
          <w:trHeight w:val="183"/>
        </w:trPr>
        <w:tc>
          <w:tcPr>
            <w:tcW w:w="79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Foreign currency translation gain (loss)</w:t>
            </w:r>
          </w:p>
        </w:tc>
        <w:tc>
          <w:tcPr>
            <w:tcW w:w="9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1,722</w:t>
            </w: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(536)</w:t>
            </w:r>
          </w:p>
        </w:tc>
      </w:tr>
      <w:tr>
        <w:trPr>
          <w:trHeight w:val="182"/>
        </w:trPr>
        <w:tc>
          <w:tcPr>
            <w:tcW w:w="7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980" w:type="dxa"/>
            <w:vAlign w:val="bottom"/>
            <w:tcBorders>
              <w:bottom w:val="single" w:sz="8" w:color="auto"/>
            </w:tcBorders>
            <w:shd w:val="clear" w:color="auto" w:fill="CCEEFF"/>
          </w:tcPr>
          <w:p>
            <w:pPr>
              <w:jc w:val="right"/>
              <w:ind w:right="8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(37,279)</w:t>
            </w:r>
          </w:p>
        </w:tc>
        <w:tc>
          <w:tcPr>
            <w:tcW w:w="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(24,493)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the consolidated financial statements are an integral part of these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(Amounts in thousands, except share and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00" w:type="dxa"/>
            <w:vAlign w:val="bottom"/>
          </w:tcPr>
          <w:p>
            <w:pPr>
              <w:spacing w:after="0"/>
              <w:rPr>
                <w:sz w:val="12"/>
                <w:szCs w:val="12"/>
                <w:color w:val="auto"/>
              </w:rPr>
            </w:pPr>
          </w:p>
        </w:tc>
        <w:tc>
          <w:tcPr>
            <w:tcW w:w="17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00" w:type="dxa"/>
            <w:vAlign w:val="bottom"/>
          </w:tcPr>
          <w:p>
            <w:pPr>
              <w:spacing w:after="0"/>
              <w:rPr>
                <w:sz w:val="12"/>
                <w:szCs w:val="12"/>
                <w:color w:val="auto"/>
              </w:rPr>
            </w:pPr>
          </w:p>
        </w:tc>
        <w:tc>
          <w:tcPr>
            <w:tcW w:w="860" w:type="dxa"/>
            <w:vAlign w:val="bottom"/>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4"/>
        </w:trPr>
        <w:tc>
          <w:tcPr>
            <w:tcW w:w="5100" w:type="dxa"/>
            <w:vAlign w:val="bottom"/>
          </w:tcPr>
          <w:p>
            <w:pPr>
              <w:spacing w:after="0"/>
              <w:rPr>
                <w:sz w:val="12"/>
                <w:szCs w:val="12"/>
                <w:color w:val="auto"/>
              </w:rPr>
            </w:pPr>
          </w:p>
        </w:tc>
        <w:tc>
          <w:tcPr>
            <w:tcW w:w="1780" w:type="dxa"/>
            <w:vAlign w:val="bottom"/>
            <w:tcBorders>
              <w:bottom w:val="single" w:sz="8" w:color="auto"/>
            </w:tcBorders>
            <w:gridSpan w:val="3"/>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100" w:type="dxa"/>
            <w:vAlign w:val="bottom"/>
          </w:tcPr>
          <w:p>
            <w:pPr>
              <w:spacing w:after="0"/>
              <w:rPr>
                <w:sz w:val="10"/>
                <w:szCs w:val="10"/>
                <w:color w:val="auto"/>
              </w:rPr>
            </w:pPr>
          </w:p>
        </w:tc>
        <w:tc>
          <w:tcPr>
            <w:tcW w:w="960" w:type="dxa"/>
            <w:vAlign w:val="bottom"/>
            <w:vMerge w:val="restart"/>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0" w:type="dxa"/>
            <w:vAlign w:val="bottom"/>
            <w:vMerge w:val="restart"/>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2"/>
                <w:szCs w:val="12"/>
                <w:b w:val="1"/>
                <w:bCs w:val="1"/>
                <w:color w:val="auto"/>
              </w:rPr>
              <w:t>Additional Paid-</w:t>
            </w:r>
          </w:p>
        </w:tc>
        <w:tc>
          <w:tcPr>
            <w:tcW w:w="120" w:type="dxa"/>
            <w:vAlign w:val="bottom"/>
          </w:tcPr>
          <w:p>
            <w:pPr>
              <w:spacing w:after="0"/>
              <w:rPr>
                <w:sz w:val="10"/>
                <w:szCs w:val="10"/>
                <w:color w:val="auto"/>
              </w:rPr>
            </w:pPr>
          </w:p>
        </w:tc>
        <w:tc>
          <w:tcPr>
            <w:tcW w:w="9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0"/>
                <w:szCs w:val="10"/>
                <w:color w:val="auto"/>
              </w:rPr>
            </w:pPr>
          </w:p>
        </w:tc>
        <w:tc>
          <w:tcPr>
            <w:tcW w:w="100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00" w:type="dxa"/>
            <w:vAlign w:val="bottom"/>
          </w:tcPr>
          <w:p>
            <w:pPr>
              <w:spacing w:after="0"/>
              <w:rPr>
                <w:sz w:val="10"/>
                <w:szCs w:val="10"/>
                <w:color w:val="auto"/>
              </w:rPr>
            </w:pPr>
          </w:p>
        </w:tc>
        <w:tc>
          <w:tcPr>
            <w:tcW w:w="860" w:type="dxa"/>
            <w:vAlign w:val="bottom"/>
          </w:tcPr>
          <w:p>
            <w:pPr>
              <w:jc w:val="center"/>
              <w:ind w:right="40"/>
              <w:spacing w:after="0" w:line="122"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8"/>
        </w:trPr>
        <w:tc>
          <w:tcPr>
            <w:tcW w:w="5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In Capital</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7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24,017,599</w:t>
            </w:r>
          </w:p>
        </w:tc>
        <w:tc>
          <w:tcPr>
            <w:tcW w:w="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197,489</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(115,721)</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(536)</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81,255</w:t>
            </w:r>
          </w:p>
        </w:tc>
        <w:tc>
          <w:tcPr>
            <w:tcW w:w="0" w:type="dxa"/>
            <w:vAlign w:val="bottom"/>
          </w:tcPr>
          <w:p>
            <w:pPr>
              <w:spacing w:after="0"/>
              <w:rPr>
                <w:sz w:val="1"/>
                <w:szCs w:val="1"/>
                <w:color w:val="auto"/>
              </w:rPr>
            </w:pPr>
          </w:p>
        </w:tc>
      </w:tr>
      <w:tr>
        <w:trPr>
          <w:trHeight w:val="163"/>
        </w:trPr>
        <w:tc>
          <w:tcPr>
            <w:tcW w:w="51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Long term incentive program charges</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5,790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5,790</w:t>
            </w:r>
          </w:p>
        </w:tc>
        <w:tc>
          <w:tcPr>
            <w:tcW w:w="0" w:type="dxa"/>
            <w:vAlign w:val="bottom"/>
          </w:tcPr>
          <w:p>
            <w:pPr>
              <w:spacing w:after="0"/>
              <w:rPr>
                <w:sz w:val="1"/>
                <w:szCs w:val="1"/>
                <w:color w:val="auto"/>
              </w:rPr>
            </w:pPr>
          </w:p>
        </w:tc>
      </w:tr>
      <w:tr>
        <w:trPr>
          <w:trHeight w:val="28"/>
        </w:trPr>
        <w:tc>
          <w:tcPr>
            <w:tcW w:w="5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5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Issuance of unvested legally outstanding shares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753,453</w:t>
            </w:r>
          </w:p>
        </w:tc>
        <w:tc>
          <w:tcPr>
            <w:tcW w:w="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3"/>
        </w:trPr>
        <w:tc>
          <w:tcPr>
            <w:tcW w:w="51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Related to acquisitions</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5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Issuance of common stock</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143,909</w:t>
            </w:r>
          </w:p>
        </w:tc>
        <w:tc>
          <w:tcPr>
            <w:tcW w:w="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1,284</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1,284</w:t>
            </w:r>
          </w:p>
        </w:tc>
        <w:tc>
          <w:tcPr>
            <w:tcW w:w="0" w:type="dxa"/>
            <w:vAlign w:val="bottom"/>
          </w:tcPr>
          <w:p>
            <w:pPr>
              <w:spacing w:after="0"/>
              <w:rPr>
                <w:sz w:val="1"/>
                <w:szCs w:val="1"/>
                <w:color w:val="auto"/>
              </w:rPr>
            </w:pPr>
          </w:p>
        </w:tc>
      </w:tr>
      <w:tr>
        <w:trPr>
          <w:trHeight w:val="163"/>
        </w:trPr>
        <w:tc>
          <w:tcPr>
            <w:tcW w:w="51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Issuance of common stock for settlement of other liability</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w:t>
            </w:r>
          </w:p>
        </w:tc>
        <w:tc>
          <w:tcPr>
            <w:tcW w:w="0" w:type="dxa"/>
            <w:vAlign w:val="bottom"/>
          </w:tcPr>
          <w:p>
            <w:pPr>
              <w:spacing w:after="0"/>
              <w:rPr>
                <w:sz w:val="1"/>
                <w:szCs w:val="1"/>
                <w:color w:val="auto"/>
              </w:rPr>
            </w:pPr>
          </w:p>
        </w:tc>
      </w:tr>
      <w:tr>
        <w:trPr>
          <w:trHeight w:val="28"/>
        </w:trPr>
        <w:tc>
          <w:tcPr>
            <w:tcW w:w="5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5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Vesting of stock issued from acquisitions</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8"/>
        </w:trPr>
        <w:tc>
          <w:tcPr>
            <w:tcW w:w="51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Vesting of restricted stock awards</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4"/>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Vesting of restricted stock units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329,141</w:t>
            </w: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3"/>
        </w:trPr>
        <w:tc>
          <w:tcPr>
            <w:tcW w:w="51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Repayment of note receivable by Alpine Group</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(63,356)</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w:t>
            </w:r>
          </w:p>
        </w:tc>
        <w:tc>
          <w:tcPr>
            <w:tcW w:w="0" w:type="dxa"/>
            <w:vAlign w:val="bottom"/>
          </w:tcPr>
          <w:p>
            <w:pPr>
              <w:spacing w:after="0"/>
              <w:rPr>
                <w:sz w:val="1"/>
                <w:szCs w:val="1"/>
                <w:color w:val="auto"/>
              </w:rPr>
            </w:pPr>
          </w:p>
        </w:tc>
      </w:tr>
      <w:tr>
        <w:trPr>
          <w:trHeight w:val="28"/>
        </w:trPr>
        <w:tc>
          <w:tcPr>
            <w:tcW w:w="5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5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Post-combination compensation charge-shares</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3,074</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3,074</w:t>
            </w:r>
          </w:p>
        </w:tc>
        <w:tc>
          <w:tcPr>
            <w:tcW w:w="0" w:type="dxa"/>
            <w:vAlign w:val="bottom"/>
          </w:tcPr>
          <w:p>
            <w:pPr>
              <w:spacing w:after="0"/>
              <w:rPr>
                <w:sz w:val="1"/>
                <w:szCs w:val="1"/>
                <w:color w:val="auto"/>
              </w:rPr>
            </w:pPr>
          </w:p>
        </w:tc>
      </w:tr>
      <w:tr>
        <w:trPr>
          <w:trHeight w:val="188"/>
        </w:trPr>
        <w:tc>
          <w:tcPr>
            <w:tcW w:w="51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Dividends</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(8,656)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(8,656)</w:t>
            </w:r>
          </w:p>
        </w:tc>
        <w:tc>
          <w:tcPr>
            <w:tcW w:w="0" w:type="dxa"/>
            <w:vAlign w:val="bottom"/>
          </w:tcPr>
          <w:p>
            <w:pPr>
              <w:spacing w:after="0"/>
              <w:rPr>
                <w:sz w:val="1"/>
                <w:szCs w:val="1"/>
                <w:color w:val="auto"/>
              </w:rPr>
            </w:pPr>
          </w:p>
        </w:tc>
      </w:tr>
      <w:tr>
        <w:trPr>
          <w:trHeight w:val="194"/>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Forfeiture of unvested restricted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(6,254)</w:t>
            </w: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8"/>
        </w:trPr>
        <w:tc>
          <w:tcPr>
            <w:tcW w:w="51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Share-based accounting charge</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29,626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29,626</w:t>
            </w:r>
          </w:p>
        </w:tc>
        <w:tc>
          <w:tcPr>
            <w:tcW w:w="0" w:type="dxa"/>
            <w:vAlign w:val="bottom"/>
          </w:tcPr>
          <w:p>
            <w:pPr>
              <w:spacing w:after="0"/>
              <w:rPr>
                <w:sz w:val="1"/>
                <w:szCs w:val="1"/>
                <w:color w:val="auto"/>
              </w:rPr>
            </w:pPr>
          </w:p>
        </w:tc>
      </w:tr>
      <w:tr>
        <w:trPr>
          <w:trHeight w:val="194"/>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Foreign currency translation gain</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1,722</w:t>
            </w:r>
          </w:p>
        </w:tc>
        <w:tc>
          <w:tcPr>
            <w:tcW w:w="0" w:type="dxa"/>
            <w:vAlign w:val="bottom"/>
          </w:tcPr>
          <w:p>
            <w:pPr>
              <w:spacing w:after="0"/>
              <w:rPr>
                <w:sz w:val="1"/>
                <w:szCs w:val="1"/>
                <w:color w:val="auto"/>
              </w:rPr>
            </w:pPr>
          </w:p>
        </w:tc>
      </w:tr>
      <w:tr>
        <w:trPr>
          <w:trHeight w:val="188"/>
        </w:trPr>
        <w:tc>
          <w:tcPr>
            <w:tcW w:w="5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Net loss</w:t>
            </w: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(39,001)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(39,001)</w:t>
            </w:r>
          </w:p>
        </w:tc>
        <w:tc>
          <w:tcPr>
            <w:tcW w:w="0" w:type="dxa"/>
            <w:vAlign w:val="bottom"/>
          </w:tcPr>
          <w:p>
            <w:pPr>
              <w:spacing w:after="0"/>
              <w:rPr>
                <w:sz w:val="1"/>
                <w:szCs w:val="1"/>
                <w:color w:val="auto"/>
              </w:rPr>
            </w:pPr>
          </w:p>
        </w:tc>
      </w:tr>
      <w:tr>
        <w:trPr>
          <w:trHeight w:val="182"/>
        </w:trPr>
        <w:tc>
          <w:tcPr>
            <w:tcW w:w="5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25,174,492</w:t>
            </w:r>
          </w:p>
        </w:tc>
        <w:tc>
          <w:tcPr>
            <w:tcW w:w="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237,075</w:t>
            </w: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(163,381)</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1,186</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74,904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the consolidated financial statements are an integral part of these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(Amounts in thousands, except share and per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60" w:type="dxa"/>
            <w:vAlign w:val="bottom"/>
          </w:tcPr>
          <w:p>
            <w:pPr>
              <w:spacing w:after="0"/>
              <w:rPr>
                <w:sz w:val="13"/>
                <w:szCs w:val="13"/>
                <w:color w:val="auto"/>
              </w:rPr>
            </w:pPr>
          </w:p>
        </w:tc>
        <w:tc>
          <w:tcPr>
            <w:tcW w:w="168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5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Additional Paid-</w:t>
            </w:r>
          </w:p>
        </w:tc>
        <w:tc>
          <w:tcPr>
            <w:tcW w:w="100" w:type="dxa"/>
            <w:vAlign w:val="bottom"/>
          </w:tcPr>
          <w:p>
            <w:pPr>
              <w:spacing w:after="0"/>
              <w:rPr>
                <w:sz w:val="2"/>
                <w:szCs w:val="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2"/>
                <w:szCs w:val="2"/>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Total Stockholders’</w:t>
            </w:r>
          </w:p>
        </w:tc>
        <w:tc>
          <w:tcPr>
            <w:tcW w:w="0" w:type="dxa"/>
            <w:vAlign w:val="bottom"/>
          </w:tcPr>
          <w:p>
            <w:pPr>
              <w:spacing w:after="0"/>
              <w:rPr>
                <w:sz w:val="1"/>
                <w:szCs w:val="1"/>
                <w:color w:val="auto"/>
              </w:rPr>
            </w:pPr>
          </w:p>
        </w:tc>
      </w:tr>
      <w:tr>
        <w:trPr>
          <w:trHeight w:val="101"/>
        </w:trPr>
        <w:tc>
          <w:tcPr>
            <w:tcW w:w="5160" w:type="dxa"/>
            <w:vAlign w:val="bottom"/>
          </w:tcPr>
          <w:p>
            <w:pPr>
              <w:spacing w:after="0"/>
              <w:rPr>
                <w:sz w:val="8"/>
                <w:szCs w:val="8"/>
                <w:color w:val="auto"/>
              </w:rPr>
            </w:pPr>
          </w:p>
        </w:tc>
        <w:tc>
          <w:tcPr>
            <w:tcW w:w="900" w:type="dxa"/>
            <w:vAlign w:val="bottom"/>
            <w:vMerge w:val="restart"/>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0" w:type="dxa"/>
            <w:vAlign w:val="bottom"/>
            <w:vMerge w:val="restart"/>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51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In Capital</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(Loss)</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7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23,054,393</w:t>
            </w:r>
          </w:p>
        </w:tc>
        <w:tc>
          <w:tcPr>
            <w:tcW w:w="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156,972</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(74,925)</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82,069</w:t>
            </w:r>
          </w:p>
        </w:tc>
        <w:tc>
          <w:tcPr>
            <w:tcW w:w="0" w:type="dxa"/>
            <w:vAlign w:val="bottom"/>
          </w:tcPr>
          <w:p>
            <w:pPr>
              <w:spacing w:after="0"/>
              <w:rPr>
                <w:sz w:val="1"/>
                <w:szCs w:val="1"/>
                <w:color w:val="auto"/>
              </w:rPr>
            </w:pPr>
          </w:p>
        </w:tc>
      </w:tr>
      <w:tr>
        <w:trPr>
          <w:trHeight w:val="163"/>
        </w:trPr>
        <w:tc>
          <w:tcPr>
            <w:tcW w:w="51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Issuance of unvested legally outstanding 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537,054</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8"/>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5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Long term incentive program charges</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3,784</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3,784</w:t>
            </w:r>
          </w:p>
        </w:tc>
        <w:tc>
          <w:tcPr>
            <w:tcW w:w="0" w:type="dxa"/>
            <w:vAlign w:val="bottom"/>
          </w:tcPr>
          <w:p>
            <w:pPr>
              <w:spacing w:after="0"/>
              <w:rPr>
                <w:sz w:val="1"/>
                <w:szCs w:val="1"/>
                <w:color w:val="auto"/>
              </w:rPr>
            </w:pPr>
          </w:p>
        </w:tc>
      </w:tr>
      <w:tr>
        <w:trPr>
          <w:trHeight w:val="163"/>
        </w:trPr>
        <w:tc>
          <w:tcPr>
            <w:tcW w:w="51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Dividends</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(16,836)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(16,836)</w:t>
            </w:r>
          </w:p>
        </w:tc>
        <w:tc>
          <w:tcPr>
            <w:tcW w:w="0" w:type="dxa"/>
            <w:vAlign w:val="bottom"/>
          </w:tcPr>
          <w:p>
            <w:pPr>
              <w:spacing w:after="0"/>
              <w:rPr>
                <w:sz w:val="1"/>
                <w:szCs w:val="1"/>
                <w:color w:val="auto"/>
              </w:rPr>
            </w:pPr>
          </w:p>
        </w:tc>
      </w:tr>
      <w:tr>
        <w:trPr>
          <w:trHeight w:val="28"/>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5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Vesting of stock issued from acquisitions</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3"/>
        </w:trPr>
        <w:tc>
          <w:tcPr>
            <w:tcW w:w="51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Vesting of restricted stock awards</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8"/>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5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Vesting of restricted stock units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158,337</w:t>
            </w:r>
          </w:p>
        </w:tc>
        <w:tc>
          <w:tcPr>
            <w:tcW w:w="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3"/>
        </w:trPr>
        <w:tc>
          <w:tcPr>
            <w:tcW w:w="51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Common stock issued to Multistate as settlement of contingent consideration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88,287</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691</w:t>
            </w:r>
          </w:p>
        </w:tc>
        <w:tc>
          <w:tcPr>
            <w:tcW w:w="0" w:type="dxa"/>
            <w:vAlign w:val="bottom"/>
          </w:tcPr>
          <w:p>
            <w:pPr>
              <w:spacing w:after="0"/>
              <w:rPr>
                <w:sz w:val="1"/>
                <w:szCs w:val="1"/>
                <w:color w:val="auto"/>
              </w:rPr>
            </w:pPr>
          </w:p>
        </w:tc>
      </w:tr>
      <w:tr>
        <w:trPr>
          <w:trHeight w:val="28"/>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5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Issuance of common stock for acquisition</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179,528</w:t>
            </w:r>
          </w:p>
        </w:tc>
        <w:tc>
          <w:tcPr>
            <w:tcW w:w="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1,443</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1,443</w:t>
            </w:r>
          </w:p>
        </w:tc>
        <w:tc>
          <w:tcPr>
            <w:tcW w:w="0" w:type="dxa"/>
            <w:vAlign w:val="bottom"/>
          </w:tcPr>
          <w:p>
            <w:pPr>
              <w:spacing w:after="0"/>
              <w:rPr>
                <w:sz w:val="1"/>
                <w:szCs w:val="1"/>
                <w:color w:val="auto"/>
              </w:rPr>
            </w:pPr>
          </w:p>
        </w:tc>
      </w:tr>
      <w:tr>
        <w:trPr>
          <w:trHeight w:val="163"/>
        </w:trPr>
        <w:tc>
          <w:tcPr>
            <w:tcW w:w="51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Post-combination compensation charge-shares</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2,793</w:t>
            </w:r>
          </w:p>
        </w:tc>
        <w:tc>
          <w:tcPr>
            <w:tcW w:w="0" w:type="dxa"/>
            <w:vAlign w:val="bottom"/>
          </w:tcPr>
          <w:p>
            <w:pPr>
              <w:spacing w:after="0"/>
              <w:rPr>
                <w:sz w:val="1"/>
                <w:szCs w:val="1"/>
                <w:color w:val="auto"/>
              </w:rPr>
            </w:pPr>
          </w:p>
        </w:tc>
      </w:tr>
      <w:tr>
        <w:trPr>
          <w:trHeight w:val="28"/>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5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Share-Based Accounting Charge Retained Pre-IPO Shares</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31,804</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31,804</w:t>
            </w:r>
          </w:p>
        </w:tc>
        <w:tc>
          <w:tcPr>
            <w:tcW w:w="0" w:type="dxa"/>
            <w:vAlign w:val="bottom"/>
          </w:tcPr>
          <w:p>
            <w:pPr>
              <w:spacing w:after="0"/>
              <w:rPr>
                <w:sz w:val="1"/>
                <w:szCs w:val="1"/>
                <w:color w:val="auto"/>
              </w:rPr>
            </w:pPr>
          </w:p>
        </w:tc>
      </w:tr>
      <w:tr>
        <w:trPr>
          <w:trHeight w:val="163"/>
        </w:trPr>
        <w:tc>
          <w:tcPr>
            <w:tcW w:w="51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Foreign currency translation (loss)</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w:t>
            </w:r>
          </w:p>
        </w:tc>
        <w:tc>
          <w:tcPr>
            <w:tcW w:w="0" w:type="dxa"/>
            <w:vAlign w:val="bottom"/>
          </w:tcPr>
          <w:p>
            <w:pPr>
              <w:spacing w:after="0"/>
              <w:rPr>
                <w:sz w:val="1"/>
                <w:szCs w:val="1"/>
                <w:color w:val="auto"/>
              </w:rPr>
            </w:pPr>
          </w:p>
        </w:tc>
      </w:tr>
      <w:tr>
        <w:trPr>
          <w:trHeight w:val="28"/>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loss</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(23,957)</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(23,957)</w:t>
            </w:r>
          </w:p>
        </w:tc>
        <w:tc>
          <w:tcPr>
            <w:tcW w:w="0" w:type="dxa"/>
            <w:vAlign w:val="bottom"/>
          </w:tcPr>
          <w:p>
            <w:pPr>
              <w:spacing w:after="0"/>
              <w:rPr>
                <w:sz w:val="1"/>
                <w:szCs w:val="1"/>
                <w:color w:val="auto"/>
              </w:rPr>
            </w:pPr>
          </w:p>
        </w:tc>
      </w:tr>
      <w:tr>
        <w:trPr>
          <w:trHeight w:val="154"/>
        </w:trPr>
        <w:tc>
          <w:tcPr>
            <w:tcW w:w="5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2024</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24,017,599</w:t>
            </w:r>
          </w:p>
        </w:tc>
        <w:tc>
          <w:tcPr>
            <w:tcW w:w="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23</w:t>
            </w:r>
          </w:p>
        </w:tc>
        <w:tc>
          <w:tcPr>
            <w:tcW w:w="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197,489</w:t>
            </w: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(115,721)</w:t>
            </w: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(536)</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81,255</w:t>
            </w:r>
          </w:p>
        </w:tc>
        <w:tc>
          <w:tcPr>
            <w:tcW w:w="0" w:type="dxa"/>
            <w:vAlign w:val="bottom"/>
          </w:tcPr>
          <w:p>
            <w:pPr>
              <w:spacing w:after="0"/>
              <w:rPr>
                <w:sz w:val="1"/>
                <w:szCs w:val="1"/>
                <w:color w:val="auto"/>
              </w:rPr>
            </w:pPr>
          </w:p>
        </w:tc>
      </w:tr>
      <w:tr>
        <w:trPr>
          <w:trHeight w:val="28"/>
        </w:trPr>
        <w:tc>
          <w:tcPr>
            <w:tcW w:w="5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the consolidated financial statements are an integral part of these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(Amounts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Borders>
              <w:top w:val="single" w:sz="8" w:color="CCEEFF"/>
            </w:tcBorders>
            <w:shd w:val="clear" w:color="auto" w:fill="CCEEFF"/>
          </w:tcPr>
          <w:p>
            <w:pPr>
              <w:spacing w:after="0"/>
              <w:rPr>
                <w:sz w:val="16"/>
                <w:szCs w:val="16"/>
                <w:color w:val="auto"/>
              </w:rPr>
            </w:pPr>
          </w:p>
        </w:tc>
        <w:tc>
          <w:tcPr>
            <w:tcW w:w="2700" w:type="dxa"/>
            <w:vAlign w:val="bottom"/>
            <w:tcBorders>
              <w:top w:val="single" w:sz="8" w:color="auto"/>
              <w:bottom w:val="single" w:sz="8" w:color="auto"/>
            </w:tcBorders>
            <w:gridSpan w:val="4"/>
            <w:shd w:val="clear" w:color="auto" w:fill="CCEEFF"/>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560" w:type="dxa"/>
            <w:vAlign w:val="bottom"/>
            <w:tcBorders>
              <w:top w:val="single" w:sz="8" w:color="auto"/>
              <w:bottom w:val="single" w:sz="8" w:color="auto"/>
            </w:tcBorders>
            <w:shd w:val="clear" w:color="auto" w:fill="CCEEFF"/>
          </w:tcPr>
          <w:p>
            <w:pPr>
              <w:spacing w:after="0"/>
              <w:rPr>
                <w:sz w:val="16"/>
                <w:szCs w:val="16"/>
                <w:color w:val="auto"/>
              </w:rPr>
            </w:pPr>
          </w:p>
        </w:tc>
      </w:tr>
      <w:tr>
        <w:trPr>
          <w:trHeight w:val="182"/>
        </w:trPr>
        <w:tc>
          <w:tcPr>
            <w:tcW w:w="80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color w:val="auto"/>
              </w:rPr>
              <w:t>2024</w:t>
            </w:r>
          </w:p>
        </w:tc>
        <w:tc>
          <w:tcPr>
            <w:tcW w:w="560" w:type="dxa"/>
            <w:vAlign w:val="bottom"/>
            <w:tcBorders>
              <w:bottom w:val="single" w:sz="8" w:color="auto"/>
            </w:tcBorders>
          </w:tcPr>
          <w:p>
            <w:pPr>
              <w:spacing w:after="0"/>
              <w:rPr>
                <w:sz w:val="15"/>
                <w:szCs w:val="15"/>
                <w:color w:val="auto"/>
              </w:rPr>
            </w:pPr>
          </w:p>
        </w:tc>
      </w:tr>
      <w:tr>
        <w:trPr>
          <w:trHeight w:val="17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83"/>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(39,001)</w:t>
            </w:r>
          </w:p>
        </w:tc>
        <w:tc>
          <w:tcPr>
            <w:tcW w:w="100" w:type="dxa"/>
            <w:vAlign w:val="bottom"/>
          </w:tcPr>
          <w:p>
            <w:pPr>
              <w:spacing w:after="0"/>
              <w:rPr>
                <w:sz w:val="15"/>
                <w:szCs w:val="15"/>
                <w:color w:val="auto"/>
              </w:rPr>
            </w:pPr>
          </w:p>
        </w:tc>
        <w:tc>
          <w:tcPr>
            <w:tcW w:w="1020" w:type="dxa"/>
            <w:vAlign w:val="bottom"/>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(23,957)</w:t>
            </w:r>
          </w:p>
        </w:tc>
      </w:tr>
      <w:tr>
        <w:trPr>
          <w:trHeight w:val="19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loss to net cash provided by operating activities:</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183"/>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192</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r>
      <w:tr>
        <w:trPr>
          <w:trHeight w:val="19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Amortization expense - intangibles</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6,046</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4,671</w:t>
            </w:r>
          </w:p>
        </w:tc>
      </w:tr>
      <w:tr>
        <w:trPr>
          <w:trHeight w:val="183"/>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Amortization of right of use assets</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5,466</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4,071</w:t>
            </w:r>
          </w:p>
        </w:tc>
      </w:tr>
      <w:tr>
        <w:trPr>
          <w:trHeight w:val="19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Amortization of prepaid post-combination compensation</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8,987</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5,062</w:t>
            </w:r>
          </w:p>
        </w:tc>
      </w:tr>
      <w:tr>
        <w:trPr>
          <w:trHeight w:val="183"/>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Accretion of other liability</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8,490</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3,742</w:t>
            </w:r>
          </w:p>
        </w:tc>
      </w:tr>
      <w:tr>
        <w:trPr>
          <w:trHeight w:val="19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Amortization of debt discount</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236</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r>
      <w:tr>
        <w:trPr>
          <w:trHeight w:val="183"/>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Provision for deferred income taxes</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(2,712)</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(1,294)</w:t>
            </w:r>
          </w:p>
        </w:tc>
      </w:tr>
      <w:tr>
        <w:trPr>
          <w:trHeight w:val="19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Share-based accounting charge</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29,626</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31,804</w:t>
            </w:r>
          </w:p>
        </w:tc>
      </w:tr>
      <w:tr>
        <w:trPr>
          <w:trHeight w:val="183"/>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7,086</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4,162</w:t>
            </w:r>
          </w:p>
        </w:tc>
      </w:tr>
      <w:tr>
        <w:trPr>
          <w:trHeight w:val="19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Post-combination compensation charge-shares</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3,074</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2,793</w:t>
            </w:r>
          </w:p>
        </w:tc>
      </w:tr>
      <w:tr>
        <w:trPr>
          <w:trHeight w:val="183"/>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fair value of contingent consideration</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5,147</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1,910</w:t>
            </w:r>
          </w:p>
        </w:tc>
      </w:tr>
      <w:tr>
        <w:trPr>
          <w:trHeight w:val="19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Gain on bargain purchase</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(2,043)</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(2,464)</w:t>
            </w:r>
          </w:p>
        </w:tc>
      </w:tr>
      <w:tr>
        <w:trPr>
          <w:trHeight w:val="183"/>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Credit losses on accounts receivable</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2,353</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Impairment of goodwill and other intangible assets</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9,109</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Employee loan forgiveness</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250</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(Increase) decrease in:</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183"/>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receivable</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(5,060)</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(3,118)</w:t>
            </w:r>
          </w:p>
        </w:tc>
      </w:tr>
      <w:tr>
        <w:trPr>
          <w:trHeight w:val="19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Prepaid post-combination expense</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(10,456)</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(4,640)</w:t>
            </w:r>
          </w:p>
        </w:tc>
      </w:tr>
      <w:tr>
        <w:trPr>
          <w:trHeight w:val="183"/>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(1,142)</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r>
      <w:tr>
        <w:trPr>
          <w:trHeight w:val="19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Increase (decrease) in:</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183"/>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6,325</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(2,053)</w:t>
            </w:r>
          </w:p>
        </w:tc>
      </w:tr>
      <w:tr>
        <w:trPr>
          <w:trHeight w:val="19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taxes payable and receivable</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1,149</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(2,219)</w:t>
            </w:r>
          </w:p>
        </w:tc>
      </w:tr>
      <w:tr>
        <w:trPr>
          <w:trHeight w:val="183"/>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revenue</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149</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w:t>
            </w:r>
          </w:p>
        </w:tc>
      </w:tr>
      <w:tr>
        <w:trPr>
          <w:trHeight w:val="19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Contingent consideration</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w:t>
            </w:r>
          </w:p>
        </w:tc>
      </w:tr>
      <w:tr>
        <w:trPr>
          <w:trHeight w:val="183"/>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Operating lease liability</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(5,961)</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(4,277)</w:t>
            </w:r>
          </w:p>
        </w:tc>
      </w:tr>
      <w:tr>
        <w:trPr>
          <w:trHeight w:val="19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liabilities</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(1,714)</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(982)</w:t>
            </w:r>
          </w:p>
        </w:tc>
      </w:tr>
      <w:tr>
        <w:trPr>
          <w:trHeight w:val="183"/>
        </w:trPr>
        <w:tc>
          <w:tcPr>
            <w:tcW w:w="8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Transactions with members and related parties</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(822)</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1,611</w:t>
            </w:r>
          </w:p>
        </w:tc>
      </w:tr>
      <w:tr>
        <w:trPr>
          <w:trHeight w:val="182"/>
        </w:trPr>
        <w:tc>
          <w:tcPr>
            <w:tcW w:w="8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10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24,770</w:t>
            </w: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16,403</w:t>
            </w:r>
          </w:p>
        </w:tc>
      </w:tr>
      <w:tr>
        <w:trPr>
          <w:trHeight w:val="182"/>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83"/>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issued for notes receivable - related parties</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(500)</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received for notes receivable - related parties</w:t>
            </w:r>
          </w:p>
        </w:tc>
        <w:tc>
          <w:tcPr>
            <w:tcW w:w="10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r>
      <w:tr>
        <w:trPr>
          <w:trHeight w:val="183"/>
        </w:trPr>
        <w:tc>
          <w:tcPr>
            <w:tcW w:w="8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Cash paid for acquisitions, net of cash acquired</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(21,065)</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(19,784)</w:t>
            </w:r>
          </w:p>
        </w:tc>
      </w:tr>
      <w:tr>
        <w:trPr>
          <w:trHeight w:val="182"/>
        </w:trPr>
        <w:tc>
          <w:tcPr>
            <w:tcW w:w="8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10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(21,576)</w:t>
            </w: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(19,490)</w:t>
            </w:r>
          </w:p>
        </w:tc>
      </w:tr>
      <w:tr>
        <w:trPr>
          <w:trHeight w:val="182"/>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notes payable</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24,000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r>
      <w:tr>
        <w:trPr>
          <w:trHeight w:val="183"/>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(128)</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r>
      <w:tr>
        <w:trPr>
          <w:trHeight w:val="19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 of deferred equity offering costs</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(2,919)</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Principal payment of note payable</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(9,165)</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(3,863)</w:t>
            </w:r>
          </w:p>
        </w:tc>
      </w:tr>
      <w:tr>
        <w:trPr>
          <w:trHeight w:val="19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 of contingent considerations</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w:t>
            </w:r>
          </w:p>
        </w:tc>
      </w:tr>
      <w:tr>
        <w:trPr>
          <w:trHeight w:val="183"/>
        </w:trPr>
        <w:tc>
          <w:tcPr>
            <w:tcW w:w="8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Dividends paid</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(8,656)</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(16,836)</w:t>
            </w:r>
          </w:p>
        </w:tc>
      </w:tr>
      <w:tr>
        <w:trPr>
          <w:trHeight w:val="182"/>
        </w:trPr>
        <w:tc>
          <w:tcPr>
            <w:tcW w:w="8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10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2,550</w:t>
            </w: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3,336</w:t>
            </w:r>
          </w:p>
        </w:tc>
      </w:tr>
      <w:tr>
        <w:trPr>
          <w:trHeight w:val="182"/>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Effect of foreign exchange rate changes on cash and cash equivalents</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156</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8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Change in Cash and Cash Equivalents</w:t>
            </w: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5,900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r>
      <w:tr>
        <w:trPr>
          <w:trHeight w:val="183"/>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as of Beginning of Period</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14,536</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14,341</w:t>
            </w:r>
          </w:p>
        </w:tc>
      </w:tr>
      <w:tr>
        <w:trPr>
          <w:trHeight w:val="191"/>
        </w:trPr>
        <w:tc>
          <w:tcPr>
            <w:tcW w:w="8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the End of Period</w:t>
            </w: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20,436</w:t>
            </w: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14,536</w:t>
            </w: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the consolidated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5089525</wp:posOffset>
            </wp:positionH>
            <wp:positionV relativeFrom="paragraph">
              <wp:posOffset>28575</wp:posOffset>
            </wp:positionV>
            <wp:extent cx="207518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75180" cy="698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20" w:type="dxa"/>
            <w:vAlign w:val="bottom"/>
          </w:tcPr>
          <w:p>
            <w:pPr>
              <w:spacing w:after="0"/>
              <w:rPr>
                <w:sz w:val="15"/>
                <w:szCs w:val="15"/>
                <w:color w:val="auto"/>
              </w:rPr>
            </w:pPr>
          </w:p>
        </w:tc>
        <w:tc>
          <w:tcPr>
            <w:tcW w:w="2720" w:type="dxa"/>
            <w:vAlign w:val="bottom"/>
            <w:tcBorders>
              <w:bottom w:val="single" w:sz="8" w:color="auto"/>
            </w:tcBorders>
            <w:gridSpan w:val="4"/>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540" w:type="dxa"/>
            <w:vAlign w:val="bottom"/>
            <w:tcBorders>
              <w:bottom w:val="single" w:sz="8" w:color="auto"/>
            </w:tcBorders>
          </w:tcPr>
          <w:p>
            <w:pPr>
              <w:spacing w:after="0"/>
              <w:rPr>
                <w:sz w:val="15"/>
                <w:szCs w:val="15"/>
                <w:color w:val="auto"/>
              </w:rPr>
            </w:pPr>
          </w:p>
        </w:tc>
      </w:tr>
      <w:tr>
        <w:trPr>
          <w:trHeight w:val="182"/>
        </w:trPr>
        <w:tc>
          <w:tcPr>
            <w:tcW w:w="80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5"/>
                <w:szCs w:val="15"/>
                <w:color w:val="auto"/>
              </w:rPr>
            </w:pPr>
          </w:p>
        </w:tc>
      </w:tr>
      <w:tr>
        <w:trPr>
          <w:trHeight w:val="17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83"/>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paid for interest</w:t>
            </w:r>
          </w:p>
        </w:tc>
        <w:tc>
          <w:tcPr>
            <w:tcW w:w="1080" w:type="dxa"/>
            <w:vAlign w:val="bottom"/>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3,165</w:t>
            </w:r>
          </w:p>
        </w:tc>
        <w:tc>
          <w:tcPr>
            <w:tcW w:w="100" w:type="dxa"/>
            <w:vAlign w:val="bottom"/>
          </w:tcPr>
          <w:p>
            <w:pPr>
              <w:spacing w:after="0"/>
              <w:rPr>
                <w:sz w:val="15"/>
                <w:szCs w:val="15"/>
                <w:color w:val="auto"/>
              </w:rPr>
            </w:pPr>
          </w:p>
        </w:tc>
        <w:tc>
          <w:tcPr>
            <w:tcW w:w="1040" w:type="dxa"/>
            <w:vAlign w:val="bottom"/>
          </w:tcPr>
          <w:p>
            <w:pPr>
              <w:jc w:val="right"/>
              <w:ind w:right="92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1,718</w:t>
            </w:r>
          </w:p>
        </w:tc>
      </w:tr>
      <w:tr>
        <w:trPr>
          <w:trHeight w:val="19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10,049</w:t>
            </w:r>
          </w:p>
        </w:tc>
      </w:tr>
      <w:tr>
        <w:trPr>
          <w:trHeight w:val="183"/>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 received for repayment of note receivable with Alpine Group</w:t>
            </w:r>
          </w:p>
        </w:tc>
        <w:tc>
          <w:tcPr>
            <w:tcW w:w="10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Right of use assets obtained with lease liabilities</w:t>
            </w: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w:t>
            </w:r>
          </w:p>
        </w:tc>
      </w:tr>
      <w:tr>
        <w:trPr>
          <w:trHeight w:val="183"/>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Right of use assets obtained with business combinations</w:t>
            </w:r>
          </w:p>
        </w:tc>
        <w:tc>
          <w:tcPr>
            <w:tcW w:w="10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1,806</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w:t>
            </w:r>
          </w:p>
        </w:tc>
      </w:tr>
      <w:tr>
        <w:trPr>
          <w:trHeight w:val="19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Contingent consideration issued for acquisitions</w:t>
            </w:r>
          </w:p>
        </w:tc>
        <w:tc>
          <w:tcPr>
            <w:tcW w:w="10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3,798</w:t>
            </w:r>
          </w:p>
        </w:tc>
      </w:tr>
      <w:tr>
        <w:trPr>
          <w:trHeight w:val="183"/>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 issued for acquisitions</w:t>
            </w:r>
          </w:p>
        </w:tc>
        <w:tc>
          <w:tcPr>
            <w:tcW w:w="10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1,284</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1,443</w:t>
            </w:r>
          </w:p>
        </w:tc>
      </w:tr>
      <w:tr>
        <w:trPr>
          <w:trHeight w:val="19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issued for settlement of other liability</w:t>
            </w: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Accrued deferred equity offering costs</w:t>
            </w:r>
          </w:p>
        </w:tc>
        <w:tc>
          <w:tcPr>
            <w:tcW w:w="10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2,598</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issued for settlement of contingent consideration</w:t>
            </w:r>
          </w:p>
        </w:tc>
        <w:tc>
          <w:tcPr>
            <w:tcW w:w="10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w:t>
            </w:r>
          </w:p>
        </w:tc>
      </w:tr>
    </w:tbl>
    <w:p>
      <w:pPr>
        <w:sectPr>
          <w:pgSz w:w="11900" w:h="16838" w:orient="portrait"/>
          <w:cols w:equalWidth="0" w:num="1">
            <w:col w:w="11280"/>
          </w:cols>
          <w:pgMar w:left="300" w:top="120" w:right="319"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to the consolidated financial statements are an integral part of these statements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ORGANIZATION AND SIGNIFICANT ACCOUNTING POLICIES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Nature of Business</w:t>
      </w:r>
    </w:p>
    <w:p>
      <w:pPr>
        <w:spacing w:after="0" w:line="13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Public Policy Holding Company, Inc. ("PPHC-Inc.") was incorporated on February 4, 2021. From PPHC-Inc.'s incorporation until December 10, 2021 (the "Conversion Date"), all of the issued and outstanding shares of stock of PPHC-Inc. were owned by Public Policy Holding Company, LLC ("PPHC-LLC"), which (i) was organized as a Delaware limited liability company on July 1, 2014, and</w:t>
      </w:r>
    </w:p>
    <w:p>
      <w:pPr>
        <w:spacing w:after="0" w:line="1" w:lineRule="exact"/>
        <w:rPr>
          <w:sz w:val="20"/>
          <w:szCs w:val="20"/>
          <w:color w:val="auto"/>
        </w:rPr>
      </w:pPr>
    </w:p>
    <w:p>
      <w:pPr>
        <w:ind w:right="20" w:firstLine="5"/>
        <w:spacing w:after="0" w:line="256" w:lineRule="auto"/>
        <w:tabs>
          <w:tab w:leader="none" w:pos="20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owned certain wholly-owned operating subsidiaries, all organized as Delaware limited liability companies (the "Subsidiaries," and collectively with PPHC-Inc., the "Company"). On the Conversion Date, PPHC-LLC contributed and assigned substantially all of its assets and liabilities (including all of the Subsidiaries, but excluding certain specified assets and liabilities) to PPHC-Inc. in exchange for the issuance by PPHC-Inc. of 20,000,000 shares (the "Contribution Shares") of Common Stock, par value $0.001 per share ("Common Stock") of PPHC-Inc. Pursuant to a formula approved by the Executive Board and General Board of PPHC-LLC (the "Waterfall"), PPHC-LLC then liquidated and distributed the Contribution Shares to each of PPHC-LLC's owners who (other than The Alpine Group, Inc.), in turn, distributed such shares to their respective owners in accordance with the Waterfall (collectively, the "Company Conversion").</w:t>
      </w:r>
    </w:p>
    <w:p>
      <w:pPr>
        <w:spacing w:after="0" w:line="10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Company provides consulting services in the areas of Government Relations Consulting, Corporate Communications &amp; Public Affairs Consulting and Compliance and Insights Services, primarily in the US. With the acquisition of Pagefield Communications Limited ("Pagefield") and TrailRunner International ("TrailRunner"), the Company has expanded its capabilities to the United Kingdom and parts of Asia. As of December 31, 2025, the Company conducts its business through 12 individual member companies.</w:t>
      </w:r>
    </w:p>
    <w:p>
      <w:pPr>
        <w:spacing w:after="0" w:line="93"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The consolidated financial statements have been prepared pursuant to the rules and regulations of the Securities and Exchange Commission (the “SEC”) for financial reporting. These consolidated financial statements, in the opinion of management, include all adjustments necessary for a fair statement of the results for the periods presented in accordance with accounting principles generally accepted in the United States of America (“GAAP”). Our financial position, results of operations and cash flows are presented in United States Dollars ("USD" or "US Dollars").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Reverse Stock Split</w:t>
      </w:r>
    </w:p>
    <w:p>
      <w:pPr>
        <w:spacing w:after="0" w:line="13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On September 29, 2025 , the Company’s Board of Directors approved an amendment to the Company's amended and restated certificate of incorporation to effect a reverse stock split of the Company’s Common Stock, including all unvested Common Stock, at a ratio of one share for every five shares (the “Reverse Stock Split”). The Reverse Stock Split was effective on October 2, 2025. The authorized number of shares, and par value per share, of Common Stock are not affected by the Reverse Stock Split. Under the terms of the Reverse Stock Split, the number of shares awarded, issuable upon exercise of options awarded or issued or issuable pursuant to other equity awards under the Company’s existing omnibus incentive plan, and the exercise price of such options, have been adjusted on a pro rata basis. For all periods presented, all references to shares, options to purchase common stock, share amounts, per share amount, and related information contained in the consolidated financial statements have been retrospectively adjusted to reflect the Reverse Stock Split.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1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preparation of consolidated financial statements in accordance with GAAP requires the Company’s management to make estimates and assumptions relating to the reported amounts of assets and liabilities, the disclosure of contingent assets and liabilities at the date of the consolidated financial statements, and the reported amounts of revenue and expenses during the reporting periods. Significant items subject to such estimates and assumptions include, but not limited to, the allowance for credit losses, useful lives of intangible assets, recoverability of the carrying amounts of intangible assets, shared-based compensation, business acquisitions, valuation of contingent considerations, post-combination liabilities and income tax provision. These estimates are often based on complex judgments and assumptions that management believes to be reasonable but are inherently uncertain and unpredictable. Actual results could differ from these estimates.</w:t>
      </w:r>
    </w:p>
    <w:p>
      <w:pPr>
        <w:spacing w:after="0" w:line="101"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Certain monetary amounts, percentages and other figures included elsewhere in this Form 10-K have been subject to rounding adjustments. Accordingly, figures shown as totals in certain tables or charts may not be the arithmetic aggregation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of the figures that precede them, and figures expressed as percentages in the text may not total 100% or, as applicable, when aggregated may not be the arithmetic aggregation of the percentages that precede them.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138"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by PPHC-Inc. in accordance with GAAP and applicable rules and regulations of the Securities and Exchange Commission (the "SEC") regarding financial reporting.</w:t>
      </w:r>
    </w:p>
    <w:p>
      <w:pPr>
        <w:spacing w:after="0" w:line="8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accompanying consolidated financial statements reflect all normal recurring adjustments necessary to present fairly the financial position, results of operations, and cash flows for the years ended December 31, 2025 and 2024.</w:t>
      </w:r>
    </w:p>
    <w:p>
      <w:pPr>
        <w:spacing w:after="0" w:line="8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include the financial statements of the Company and its subsidiaries. All significant transactions among the Company and its subsidiaries have been eliminated upon consolidation.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Accounting Policies</w:t>
      </w:r>
    </w:p>
    <w:p>
      <w:pPr>
        <w:spacing w:after="0" w:line="136"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Revenue recognition: </w:t>
      </w:r>
      <w:r>
        <w:rPr>
          <w:rFonts w:ascii="Times New Roman" w:cs="Times New Roman" w:eastAsia="Times New Roman" w:hAnsi="Times New Roman"/>
          <w:sz w:val="14"/>
          <w:szCs w:val="14"/>
          <w:color w:val="auto"/>
        </w:rPr>
        <w:t>The Company generates the majority of its revenue by providing consulting services through fixed-fee arrangements related to Government Relations Consulting, Corporate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Communications &amp; Public Affairs Consulting and Compliance and Insights Services.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Most of the consulting service contracts are based on one of the following types of contract arrangements:</w:t>
      </w:r>
    </w:p>
    <w:p>
      <w:pPr>
        <w:spacing w:after="0" w:line="136" w:lineRule="exact"/>
        <w:rPr>
          <w:sz w:val="20"/>
          <w:szCs w:val="20"/>
          <w:color w:val="auto"/>
        </w:rPr>
      </w:pPr>
    </w:p>
    <w:p>
      <w:pPr>
        <w:ind w:right="40" w:firstLine="5"/>
        <w:spacing w:after="0" w:line="270" w:lineRule="auto"/>
        <w:tabs>
          <w:tab w:leader="none" w:pos="153"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Fixed-fee arrangements, (“Retainer Revenue” and “Subscription Services Revenue”) require the client to pay a fixed fee in exchange for a predetermined set of professional services. Retainer contracts generally comprise of a single stand-ready performance obligation for consulting services. The Company recognizes Retainer revenue over time by measuring the progress toward complete satisfaction of the performance obligation. Subscription Services generally comprise of a single performance obligation recognized over-time with a straight-line pattern of recognition.</w:t>
      </w:r>
    </w:p>
    <w:p>
      <w:pPr>
        <w:spacing w:after="0" w:line="9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Company’s standard practice as it relates to retainer revenue is to enter into agreements with clients that stipulate a fixed monthly fee, payable at the beginning of each month, for the services to be rendered. These agreements may also include provisions for the reimbursement of pre-approved, reasonable expenses incurred in fulfilling the performance obligations. Member companies typically invoice clients in advance, and the amounts billed are initially recorded as deferred revenue. Revenue is then recognized from deferred revenue as performance obligations are achieved.</w:t>
      </w:r>
    </w:p>
    <w:p>
      <w:pPr>
        <w:spacing w:after="0" w:line="9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A significant portion of the Company’s contracts with customers have termination clauses that give the customer the right to terminate the contract without cause with one month's notice without any substantial penalty. As such, the Company believes such contracts should be treated as a month-to-month contract as this reflects the non-cancelable period of performance. The parties do not have enforceable rights and obligations beyond the month (or months) of services already performed. The Company's contracts generally do not contain a material right.</w:t>
      </w:r>
    </w:p>
    <w:p>
      <w:pPr>
        <w:spacing w:after="0" w:line="93" w:lineRule="exact"/>
        <w:rPr>
          <w:sz w:val="20"/>
          <w:szCs w:val="20"/>
          <w:color w:val="auto"/>
        </w:rPr>
      </w:pPr>
    </w:p>
    <w:p>
      <w:pPr>
        <w:ind w:right="60" w:firstLine="5"/>
        <w:spacing w:after="0" w:line="259" w:lineRule="auto"/>
        <w:tabs>
          <w:tab w:leader="none" w:pos="153"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 Revenue includes additional services such as 1) advertisement placement and management, 2) video production, 3) website development and 4) research services, in which third-party companies may be engaged to achieve specific business objectives. These services are either in a separate contract or within the fixed-fee consulting contract, in which the Company usually receives a markup on the cost incurred by the Company. Generally, these contracts are less than 12 months in length. The Company recognizes revenues earned to date in an amount that is probable or unlikely to reverse. The Company utilizes an output method to measure progress toward complete satisfaction of the performance obligation, recognizing revenue based on the services delivered to the customer to date as a proportion of the total services promised in the contract. This approach reflects the transfer of control to the customer, as the customer receives and consumes the benefits of each service as it is performed. Any out-of-pocket administrative expenses incurred are billed at cost.</w:t>
      </w:r>
    </w:p>
    <w:p>
      <w:pPr>
        <w:spacing w:after="0" w:line="103"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Revenue is recognized when control of services provided are transferred to customers and in an amount that reflects the consideration the Company expects to be entitled to in exchange for those services using the following steps: 1) identify the contract, 2) identify the performance obligations, 3) determine the transaction price, 4) allocate the transaction price to the performance obligations in the contract, and 5) recognize revenue as or when the Company satisfies the performance obligations.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In determining the method and amount of revenue to recognize, the Company has to make judgments and estimates. Specifically, complex arrangements with nonstandard terms and conditions may require management's judgment in interpreting the contract to determine the appropriate accounting, including whether the promised services specified in an arrangement are distinct performance obligations and should be accounted for separately, and how to allocate the transaction price, including any variable consideration, to the separate performance obligations. When a contract contains multiple performance obligations, the Company allocates the transaction price to each performance obligation based on its estimate of the stand-alone selling price. Other judgments include determining whether performance obligations are satisfied over-time or at a point-in-time and the selection of the method to measure progress towards completion.</w:t>
      </w:r>
    </w:p>
    <w:p>
      <w:pPr>
        <w:spacing w:after="0" w:line="9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 xml:space="preserve">The Company has considered the guidance of combining contracts in accordance with ASC 606-10-25-9, </w:t>
      </w:r>
      <w:r>
        <w:rPr>
          <w:rFonts w:ascii="Times New Roman" w:cs="Times New Roman" w:eastAsia="Times New Roman" w:hAnsi="Times New Roman"/>
          <w:sz w:val="14"/>
          <w:szCs w:val="14"/>
          <w:i w:val="1"/>
          <w:iCs w:val="1"/>
          <w:color w:val="auto"/>
        </w:rPr>
        <w:t>Combining Contracts.</w:t>
      </w:r>
      <w:r>
        <w:rPr>
          <w:rFonts w:ascii="Times New Roman" w:cs="Times New Roman" w:eastAsia="Times New Roman" w:hAnsi="Times New Roman"/>
          <w:sz w:val="14"/>
          <w:szCs w:val="14"/>
          <w:color w:val="auto"/>
        </w:rPr>
        <w:t xml:space="preserve"> The Company has considered the guidance as it relates to customer contracts and noted that the Company’s customers occasionally execute multiple orders for services, add-ons and professional services within a short period of time. The Company evaluate multiple orders to determine if the services across multiple orders relate directly to the same Retainer service or Project and will combine contracts if deemed to be related as they are packaged within a single commercial objective. For any contracts that meet one or more of the requirements of ASC 606-10-25-9, the Company will account for the contracts as a single contract. The majority of contracts entered into with customers are entered into with multiple commercial objectives, and the consideration of one contract is determined independently from the price or performance of other contracts.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Certain services provided by the Company include the utilization of a third party in the delivery of those services. These services are primarily related to the production of an advertising campaign or media buying services. The Company has determined that it acts as an agent and is solely arranging for the third parties to provide services to the customer. Specifically, the Company does not control the specified services before transferring those services to the customer, is not primarily responsible for the performance of the third-party services, nor can the Company redirect those services to fulfill any other contracts. The Company does not have discretion in establishing the third-party pricing in its contracts with customers. For these performance obligations for which the Company acts as an agent, the Company records revenue as the net amount of the gross billings less amounts remitted to the third party.</w:t>
      </w:r>
    </w:p>
    <w:p>
      <w:pPr>
        <w:spacing w:after="0" w:line="99" w:lineRule="exact"/>
        <w:rPr>
          <w:sz w:val="20"/>
          <w:szCs w:val="20"/>
          <w:color w:val="auto"/>
        </w:rPr>
      </w:pPr>
    </w:p>
    <w:p>
      <w:pPr>
        <w:ind w:right="56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Cost of Services: </w:t>
      </w:r>
      <w:r>
        <w:rPr>
          <w:rFonts w:ascii="Times New Roman" w:cs="Times New Roman" w:eastAsia="Times New Roman" w:hAnsi="Times New Roman"/>
          <w:sz w:val="14"/>
          <w:szCs w:val="14"/>
          <w:color w:val="auto"/>
        </w:rPr>
        <w:t>Cost of services primarily consists of salaries, bonuses, benefits, share-based award expense, amortization of developed software, and other personnel costs that are directly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attributable to the Company’s client engagements, as well as real estate lease expense of the Company's member companies.</w:t>
      </w:r>
    </w:p>
    <w:p>
      <w:pPr>
        <w:spacing w:after="0" w:line="78"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Cash and cash equivalents: </w:t>
      </w:r>
      <w:r>
        <w:rPr>
          <w:rFonts w:ascii="Times New Roman" w:cs="Times New Roman" w:eastAsia="Times New Roman" w:hAnsi="Times New Roman"/>
          <w:sz w:val="14"/>
          <w:szCs w:val="14"/>
          <w:color w:val="auto"/>
        </w:rPr>
        <w:t>The Company considers all cash investments with original maturities of three months or less to be cash equivalents. At times, the Company maintains cash accounts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exceed federally insured limits, but management does not believe that this results in any significant credit risk.</w:t>
      </w:r>
    </w:p>
    <w:p>
      <w:pPr>
        <w:spacing w:after="0" w:line="78" w:lineRule="exact"/>
        <w:rPr>
          <w:sz w:val="20"/>
          <w:szCs w:val="20"/>
          <w:color w:val="auto"/>
        </w:rPr>
      </w:pPr>
    </w:p>
    <w:p>
      <w:pPr>
        <w:jc w:val="both"/>
        <w:ind w:right="6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Contract receivables: </w:t>
      </w:r>
      <w:r>
        <w:rPr>
          <w:rFonts w:ascii="Times New Roman" w:cs="Times New Roman" w:eastAsia="Times New Roman" w:hAnsi="Times New Roman"/>
          <w:sz w:val="14"/>
          <w:szCs w:val="14"/>
          <w:color w:val="auto"/>
        </w:rPr>
        <w:t>The Company provides for an allowance for credit losses; it is management's best estimate of possible losses based on historical experience and specific allowances for known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troubled accounts, if needed. Accounts are generally considered past due after the contracted payment terms, which are generally net 30 day terms. All accounts or portions thereof that are deemed to be uncollectible or that require an excessive collection cost are written off to the allowance for credit losses.</w:t>
      </w:r>
    </w:p>
    <w:p>
      <w:pPr>
        <w:spacing w:after="0" w:line="9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Leases: </w:t>
      </w:r>
      <w:r>
        <w:rPr>
          <w:rFonts w:ascii="Times New Roman" w:cs="Times New Roman" w:eastAsia="Times New Roman" w:hAnsi="Times New Roman"/>
          <w:sz w:val="14"/>
          <w:szCs w:val="14"/>
          <w:color w:val="auto"/>
        </w:rPr>
        <w:t>The Company determines if a contract is a leasing arrangement at inception. Operating lease assets represent the Company’s right to control the use of an identified asset for the lease term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lease liabilities represent the Company’s obligation to make lease payments arising from the lease. Operating lease assets and liabilities are recognized on the consolidated balance sheets at the commencement date based on the present value of lease payments over the lease term. The Company uses the incremental borrowing rate on the commencement date in determining the present value of its lease payments. The Company recognizes lease expense for its operating leases on a straight-line basis over the lease term. The Company has elected the practical expedient to not separate lease and non-lease components. The Company's non-lease components generally comprise of common area maintenance services and other services based items embedded in lease contracts. Lease expense of the Company’s member companies is recorded to cost of services while the lease expense of the Company’s corporate function is recorded to general and administrative expense in the consolidated statement of operations.</w:t>
      </w:r>
    </w:p>
    <w:p>
      <w:pPr>
        <w:spacing w:after="0" w:line="10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Company leases office space and equipment under non-cancelable operating leases, which may include renewal or termination options that are reasonably certain of exercise. Most leases include one or more options to renew. The exercise of lease renewal options is at the Company’s sole discretion. Certain of the Company’s lease agreements include rental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payments that are adjusted periodically for inflation. The Company’s lease agreements do not contain any material residual value guarantees or material restrictive covenants.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Leases with an initial term of 12 months or less are not recorded on the consolidated balance sheets and are expensed on a straight-line basis.</w:t>
      </w:r>
    </w:p>
    <w:p>
      <w:pPr>
        <w:spacing w:after="0" w:line="134"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Property and equipment: </w:t>
      </w:r>
      <w:r>
        <w:rPr>
          <w:rFonts w:ascii="Times New Roman" w:cs="Times New Roman" w:eastAsia="Times New Roman" w:hAnsi="Times New Roman"/>
          <w:sz w:val="14"/>
          <w:szCs w:val="14"/>
          <w:color w:val="auto"/>
        </w:rPr>
        <w:t>Property and equipment consist of furniture, equipment and leasehold improvements and is carried at cost less accumulated depreciation. Depreciation is provided generally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a straight-line method over the estimated useful lives of the related assets ranging from 5 to 15 years.</w:t>
      </w:r>
    </w:p>
    <w:p>
      <w:pPr>
        <w:spacing w:after="0" w:line="78"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Business combinations: </w:t>
      </w:r>
      <w:r>
        <w:rPr>
          <w:rFonts w:ascii="Times New Roman" w:cs="Times New Roman" w:eastAsia="Times New Roman" w:hAnsi="Times New Roman"/>
          <w:sz w:val="14"/>
          <w:szCs w:val="14"/>
          <w:color w:val="auto"/>
        </w:rPr>
        <w:t>Business combinations are accounted for using the acquisition method which requires that the assets acquired and liabilities assumed be recorded as of the date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acquisition at their respective fair values with limited exceptions. Assets acquired and liabilities assumed in a business combination that arise from contingencies are generally recognized at fair value. If fair value cannot be determined, the asset or liability is recognized if probable and reasonably estimable; if these criteria are not met, no asset or liability is recognized. Transaction costs are expensed as incurred. The operating results of the acquired business are reflected in the Company's consolidated financial statements after the date of acquisition.</w:t>
      </w:r>
    </w:p>
    <w:p>
      <w:pPr>
        <w:spacing w:after="0" w:line="95" w:lineRule="exact"/>
        <w:rPr>
          <w:sz w:val="20"/>
          <w:szCs w:val="20"/>
          <w:color w:val="auto"/>
        </w:rPr>
      </w:pPr>
    </w:p>
    <w:p>
      <w:pPr>
        <w:jc w:val="both"/>
        <w:ind w:right="18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Goodwill and indefinite-lived intangible assets: </w:t>
      </w:r>
      <w:r>
        <w:rPr>
          <w:rFonts w:ascii="Times New Roman" w:cs="Times New Roman" w:eastAsia="Times New Roman" w:hAnsi="Times New Roman"/>
          <w:sz w:val="14"/>
          <w:szCs w:val="14"/>
          <w:color w:val="auto"/>
        </w:rPr>
        <w:t>Goodwill represents the excess of the purchase price in a business combination over the fair value of the net tangible and intangible assets acquired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the indefinite-lived intangible assets which consists of trademarks. Goodwill and indefinite-lived intangible assets are not amortized but tested for impairment annually and whenever events or changes in circumstances indicate that the recorded goodwill or indefinite-lived intangible assets may be impaired.</w:t>
      </w:r>
    </w:p>
    <w:p>
      <w:pPr>
        <w:spacing w:after="0" w:line="93"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The Company assesses goodwill for impairment at the reporting unit level. A reporting unit is an operating segment or a business one level below that operating segment if discrete financial information is available and regularly reviewed by the chief operating decision maker (“CODM”).</w:t>
      </w:r>
    </w:p>
    <w:p>
      <w:pPr>
        <w:spacing w:after="0" w:line="8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During 2025, the Company changed its annual goodwill impairment testing date from the end of the fourth quarter to October 1. This change in accounting principle was made to better balance the need for sufficient elapsed time to understand business performance trends for the year while also aligning the timing of the impairment testing process with the Company's operational priorities. The Company believes this change is preferable as it (i) allows for an informed assessment of fair value based on nine months of actual operating results and updated forecasts, and (ii) provides adequate time to complete the impairment testing analysis before the year-end financial reporting close, thereby reducing resource constraints during peak period-end activities.</w:t>
      </w:r>
    </w:p>
    <w:p>
      <w:pPr>
        <w:spacing w:after="0" w:line="9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This change will not impact our consolidated financial statements, nor is it being done to accelerate, avoid, or trigger an impairment charge. The Company applied this change prospectively in accordance with ASC 250-10. Retrospective application was determined to be impracticable because it would require the application of significant estimates and assumptions that cannot be objectively distinguished without the use of hindsight. For the annual impairment test, the Company has the option of assessing qualitative factors to determine whether it is more likely than not that the carrying amount of a reporting unit exceeds its fair value or performing a quantitative goodwill impairment test. Qualitative factors considered in the assessment include industry and market considerations, the competitive environment, overall financial performance, changing cost factors such as labor costs, and other factors specific to each reporting unit such as change in management or key personnel. Based on the results of the Company’s qualitative assessment, as of October 1, 2025, we determined that the effects of the decline in operations was a result of certain client relationships and employee turnover at Pagefield constituted a triggering event for both the Pagefield Government Relations Consulting reporting unit and the Pagefield Corporate Communications &amp; Public Affairs reporting unit. We applied the discounted cash flow method and the guideline public company method to determine the fair value of both reporting units.</w:t>
      </w:r>
    </w:p>
    <w:p>
      <w:pPr>
        <w:spacing w:after="0" w:line="104" w:lineRule="exact"/>
        <w:rPr>
          <w:sz w:val="20"/>
          <w:szCs w:val="20"/>
          <w:color w:val="auto"/>
        </w:rPr>
      </w:pPr>
    </w:p>
    <w:p>
      <w:pPr>
        <w:jc w:val="both"/>
        <w:ind w:right="30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Other intangible assets: </w:t>
      </w:r>
      <w:r>
        <w:rPr>
          <w:rFonts w:ascii="Times New Roman" w:cs="Times New Roman" w:eastAsia="Times New Roman" w:hAnsi="Times New Roman"/>
          <w:sz w:val="14"/>
          <w:szCs w:val="14"/>
          <w:color w:val="auto"/>
        </w:rPr>
        <w:t>The Company's intangible assets consist of customer relationships, including the related customer contracts, developed technology and noncompete agreements acquired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through acquisitions, which are definite lived assets and are amortized over their estimated useful lives. In addition, intangible assets consist of trade names, which are indefinite lived assets and evaluated for impairment on an annual basis or more frequently as needed. The Company amortizes these assets over their estimated useful lives.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4"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4"/>
          <w:szCs w:val="14"/>
          <w:color w:val="auto"/>
        </w:rPr>
        <w:t>Long-lived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We group assets at the lowest level for which there are identifiable cash flows that are largely independent of the cash flows generated by other asset groups. If the total of the expected undiscounted future cash flows is less than the carrying amount of the asset group, we estimate the fair value of the asset group to determine whether an impairment loss should be recognized.</w:t>
      </w:r>
    </w:p>
    <w:p>
      <w:pPr>
        <w:spacing w:after="0" w:line="96"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Advertising Expenses: </w:t>
      </w:r>
      <w:r>
        <w:rPr>
          <w:rFonts w:ascii="Times New Roman" w:cs="Times New Roman" w:eastAsia="Times New Roman" w:hAnsi="Times New Roman"/>
          <w:sz w:val="14"/>
          <w:szCs w:val="14"/>
          <w:color w:val="auto"/>
        </w:rPr>
        <w:t>The Company records advertising expenses per ASC 720-35-50-1, which are expensed as they are incurred or the first time when the advertising takes place. During the years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ended December 31, 2025 and 2024, there were $0.6 million and $0.5 million advertising costs incurred by the Company, respectively.</w:t>
      </w:r>
    </w:p>
    <w:p>
      <w:pPr>
        <w:spacing w:after="0" w:line="7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Deferred Offering Costs: </w:t>
      </w:r>
      <w:r>
        <w:rPr>
          <w:rFonts w:ascii="Times New Roman" w:cs="Times New Roman" w:eastAsia="Times New Roman" w:hAnsi="Times New Roman"/>
          <w:sz w:val="14"/>
          <w:szCs w:val="14"/>
          <w:color w:val="auto"/>
        </w:rPr>
        <w:t>Costs directly attributable to the Company’s offering of its equity securities are deferred as prepaid expenses and other current assets. These costs primarily represent specific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incremental legal, accounting, investment banking and consulting costs directly related to the Company’s efforts to raise capital through a public sale of its Common Stock. Future costs will be deferred until the completion of the offering, at which time deferred costs will be reclassified to additional paid-in capital as a reduction of the offering proceeds. At December 31, 2025, the Company had $5.5 million of deferred offering costs, included within prepaid expenses and other current assets in the accompanying consolidated balance sheet. At December 31, 2024, the balance of deferred offering costs was not material</w:t>
      </w:r>
      <w:r>
        <w:rPr>
          <w:rFonts w:ascii="Times New Roman" w:cs="Times New Roman" w:eastAsia="Times New Roman" w:hAnsi="Times New Roman"/>
          <w:sz w:val="14"/>
          <w:szCs w:val="14"/>
          <w:i w:val="1"/>
          <w:iCs w:val="1"/>
          <w:color w:val="auto"/>
        </w:rPr>
        <w:t>.</w:t>
      </w:r>
    </w:p>
    <w:p>
      <w:pPr>
        <w:spacing w:after="0" w:line="97"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Income taxes: </w:t>
      </w:r>
      <w:r>
        <w:rPr>
          <w:rFonts w:ascii="Times New Roman" w:cs="Times New Roman" w:eastAsia="Times New Roman" w:hAnsi="Times New Roman"/>
          <w:sz w:val="14"/>
          <w:szCs w:val="14"/>
          <w:color w:val="auto"/>
        </w:rPr>
        <w:t>The Company utilizes the asset and liability method in the Company's accounting for income taxes. Under this method, deferred tax assets and liabilities are determined based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differences between financial reporting and tax bases of assets and liabilities and are measured using the enacted tax rates and laws that are expected to be in effect when the differences are expected to reverse. The Company records a valuation allowance against deferred tax assets when realization of the tax benefit is uncertain.</w:t>
      </w:r>
    </w:p>
    <w:p>
      <w:pPr>
        <w:spacing w:after="0" w:line="93"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A valuation allowance is recorded, if necessary, to reduce net deferred taxes to their realizable values if management believes it is more likely than not that the net deferred tax assets will not be realized.</w:t>
      </w:r>
    </w:p>
    <w:p>
      <w:pPr>
        <w:spacing w:after="0" w:line="82"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The Company may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a position are measured based on the largest benefit that has a greater than 50% likelihood of being realized upon ultimate settlement.</w:t>
      </w:r>
    </w:p>
    <w:p>
      <w:pPr>
        <w:spacing w:after="0" w:line="9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Share-based compensation: </w:t>
      </w:r>
      <w:r>
        <w:rPr>
          <w:rFonts w:ascii="Times New Roman" w:cs="Times New Roman" w:eastAsia="Times New Roman" w:hAnsi="Times New Roman"/>
          <w:sz w:val="14"/>
          <w:szCs w:val="14"/>
          <w:color w:val="auto"/>
        </w:rPr>
        <w:t>The Company accounts for its share-based compensation using the fair value method which requires the Company to estimate the grant-date fair value of its share-based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awards and amortize this fair value to expense over the requisite service period or vesting term. For restricted and nonvested stock awards, the grant-date fair value is based upon the market price of the Company's common stock on the date of the grant. When estimating the grant date fair value of share-based awards, the Company considers whether an adjustment is required to the closing price or the expected volatility of its common stock on the date of grant when the Company is in possession of material nonpublic information. For stock options, the grant-date fair value is based on the Black-Scholes Option Pricing Model. For stock appreciation rights ("SARs") recorded as a liability, the Company adjusts the value of the SARs based on the fair value at each reporting date, which is calculated based on the Black-Scholes Option Pricing Model. The Company records forfeitures as they occur.</w:t>
      </w:r>
    </w:p>
    <w:p>
      <w:pPr>
        <w:spacing w:after="0" w:line="101"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Additionally, and as more full described in Note 10, the Company records a share-based expense relating to certain shares that were retained by executives of the Company after the Company’s initial public offering on the AIM of the London Stock Exchange in 2021. The retained shares vest in equal installments over five years, provided the executive remains continuously employed.</w:t>
      </w:r>
    </w:p>
    <w:p>
      <w:pPr>
        <w:spacing w:after="0" w:line="80"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Segment information: </w:t>
      </w:r>
      <w:r>
        <w:rPr>
          <w:rFonts w:ascii="Times New Roman" w:cs="Times New Roman" w:eastAsia="Times New Roman" w:hAnsi="Times New Roman"/>
          <w:sz w:val="14"/>
          <w:szCs w:val="14"/>
          <w:color w:val="auto"/>
        </w:rPr>
        <w:t>GAAP requires segmentation based on an entity's internal organization and reporting of revenue and operating income based upon internal accounting methods commonly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referred to as the "management approach." Operating segments are defined as components of an enterprise about which separate financial information is available that is evaluated regularly by the CODM, or decision-making group, in deciding how to allocate resources and in assessing performance. The Company's CODM is its Chief Executive Officer. The Company's operations are conducted in three reportable segments which comprise of aggregated operating segments. Operating segments are aggregated if they have similar economic characteristics and aggregating them would be consistent with the objective and basic principles of Topic</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4" w:lineRule="exact"/>
        <w:rPr>
          <w:sz w:val="20"/>
          <w:szCs w:val="20"/>
          <w:color w:val="auto"/>
        </w:rPr>
      </w:pPr>
    </w:p>
    <w:p>
      <w:pPr>
        <w:ind w:right="180" w:firstLine="5"/>
        <w:spacing w:after="0" w:line="287" w:lineRule="auto"/>
        <w:tabs>
          <w:tab w:leader="none" w:pos="283"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reportable segments consist of Government Relations Consulting, Corporate Communications &amp; Public Affairs Consulting and Compliance and Insights Services. See Note 17 for more information regarding the Company’s segment disclosures.</w:t>
      </w:r>
    </w:p>
    <w:p>
      <w:pPr>
        <w:spacing w:after="0" w:line="8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Basic and diluted earnings (loss) per share: </w:t>
      </w:r>
      <w:r>
        <w:rPr>
          <w:rFonts w:ascii="Times New Roman" w:cs="Times New Roman" w:eastAsia="Times New Roman" w:hAnsi="Times New Roman"/>
          <w:sz w:val="14"/>
          <w:szCs w:val="14"/>
          <w:color w:val="auto"/>
        </w:rPr>
        <w:t>The Company computes earnings (loss) per share in accordance with ASC 260, Earnings per Share, which requires presentation of both basic and diluted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earnings per share on the face of the consolidated statements of operations and other comprehensive loss. The Company computes net loss per share using the two-class method required for participating securities. The two-class method requires income available to common stockholders for the period to be allocated between common stock and participating securities based upon their respective rights to receive dividends as if all income for the period had been distributed. The Company determined that it had participating securities in the form of Restricted Stock Awards and shares issued in business acquisitions subject to vesting conditions. The holders of such shares have non-forfeitable dividend rights prior to their respective vesting date, or satisfaction of vesting condition. These participating securities do not contractually require the holders of such stocks to participate in the Company’s losses. As such, net loss for the period presented was not allocated to the Company’s participating securities. Basic earnings (loss) per share is computed by dividing net income (loss) available to common shareholders by the weighted average number of outstanding shares during the period. Diluted earnings (loss) per share gives effect to all dilutive potential common shares outstanding during the period. Due to their anti-dilutive effect, the calculation of diluted net loss per share for the years ended December 31, 2025 and 2024 does not include the common stock equivalent shares.</w:t>
      </w:r>
    </w:p>
    <w:p>
      <w:pPr>
        <w:spacing w:after="0" w:line="10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Fair value measurements: </w:t>
      </w:r>
      <w:r>
        <w:rPr>
          <w:rFonts w:ascii="Times New Roman" w:cs="Times New Roman" w:eastAsia="Times New Roman" w:hAnsi="Times New Roman"/>
          <w:sz w:val="14"/>
          <w:szCs w:val="14"/>
          <w:color w:val="auto"/>
        </w:rPr>
        <w:t>The Company applies the fair value measurement guidance for financial assets and liabilities that are required to be measured at fair value and for non-financial assets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liabilities that are not required to be measured at fair value on a recurring basis, including goodwill, right-of-use lease assets and other identifiable intangible assets. See Note 15 of the Notes included herein for additional information regarding fair value measurements.</w:t>
      </w:r>
    </w:p>
    <w:p>
      <w:pPr>
        <w:spacing w:after="0" w:line="9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Contingent consideration: </w:t>
      </w:r>
      <w:r>
        <w:rPr>
          <w:rFonts w:ascii="Times New Roman" w:cs="Times New Roman" w:eastAsia="Times New Roman" w:hAnsi="Times New Roman"/>
          <w:sz w:val="14"/>
          <w:szCs w:val="14"/>
          <w:color w:val="auto"/>
        </w:rPr>
        <w:t>The Company estimates and records the acquisition date fair value of contingent consideration as part of purchase price consideration for acquisitions. Subsequent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acquisition date, at each reporting period, the Company remeasures the fair value of contingent consideration and recognizes any change in fair value in the consolidated statements of operations and other comprehensive loss. The estimate of the fair value of contingent consideration requires very subjective assumptions to be made of future operating results, discount rates and probabilities assigned to various potential operating result scenarios. Future revisions to these assumptions could materially change the estimate of the fair value of contingent consideration and, therefore, materially affect the Company's future financial results. The contingent consideration liability is to be settled through a combination of cash and shares of common stock based on each respective purchase agreement and the amount ultimately paid is dependent on the achievement of certain future operating results.</w:t>
      </w:r>
    </w:p>
    <w:p>
      <w:pPr>
        <w:spacing w:after="0" w:line="9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Other liability: </w:t>
      </w:r>
      <w:r>
        <w:rPr>
          <w:rFonts w:ascii="Times New Roman" w:cs="Times New Roman" w:eastAsia="Times New Roman" w:hAnsi="Times New Roman"/>
          <w:sz w:val="14"/>
          <w:szCs w:val="14"/>
          <w:color w:val="auto"/>
        </w:rPr>
        <w:t>Other liability consists of certain future payments that the Company could be required to make if various operating targets are achieved from the acquisitions of KP LLC, MultiState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 LPA, and Pagefield (see Note 10 and Note 15). The Company records post-combination business expense over the vesting or claw-back period applicable for these future payments on a straight-line basis with the amount accrued recorded as other liability. The future earn-out payments that have vesting or claw-back rights tied to employment will reduce the amount of the other liability when paid</w:t>
      </w:r>
      <w:r>
        <w:rPr>
          <w:rFonts w:ascii="Times New Roman" w:cs="Times New Roman" w:eastAsia="Times New Roman" w:hAnsi="Times New Roman"/>
          <w:sz w:val="14"/>
          <w:szCs w:val="14"/>
          <w:i w:val="1"/>
          <w:iCs w:val="1"/>
          <w:color w:val="auto"/>
        </w:rPr>
        <w:t>.</w:t>
      </w:r>
    </w:p>
    <w:p>
      <w:pPr>
        <w:spacing w:after="0" w:line="26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Derivatives: </w:t>
      </w:r>
      <w:r>
        <w:rPr>
          <w:rFonts w:ascii="Times New Roman" w:cs="Times New Roman" w:eastAsia="Times New Roman" w:hAnsi="Times New Roman"/>
          <w:sz w:val="14"/>
          <w:szCs w:val="14"/>
          <w:color w:val="auto"/>
        </w:rPr>
        <w:t>The Company analyzes contingent consideration, other liabilities and any other financial liabilities of the company in accordance with the guidance under ASC Topic 480, Distinguishing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Liabilities from Equity to determine the appropriate classification in equity or liabilities. The Company continually assesses whether or not financial liabilities meet the definition of a derivative liability under ASC 815 Derivatives and Hedging. In the years ended December 31, 2025 and 2024, the Company has recorded derivative liabilities arising from contingent consideration and post-combination compensation obligations, See Note 16 Acquisitions and Note 15 Fair Value Measurement for further detail.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NEW ACCOUNTING PRONOUNCEMENTS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Adopted Accounting Pronouncements</w:t>
      </w:r>
    </w:p>
    <w:p>
      <w:pPr>
        <w:spacing w:after="0" w:line="136"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color w:val="auto"/>
        </w:rPr>
        <w:t xml:space="preserve">During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xml:space="preserve"> which expands annual disclosures in an entity’s income tax rate reconciliation table and requires annual disclosures regarding cash taxes paid both in the United States (federal, state and local) and foreign jurisdictions. The amendments in this ASU are effective for annual periods beginning after December 15, 2024, although early adoption is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4"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 xml:space="preserve">permitted. The Company adopted ASU 2023-09 for the year ended December 31, 2025, and applied the new disclosure requirements prospectively to the current annual period. Prior period disclosures have not been adjusted to reflect the new disclosure requirements. See Note 14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in the accompanying notes to the consolidated financial statements for further detail.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Issued Accounting Pronouncements Not Yet Adopted</w:t>
      </w:r>
    </w:p>
    <w:p>
      <w:pPr>
        <w:spacing w:after="0" w:line="13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4"/>
          <w:szCs w:val="14"/>
          <w:color w:val="auto"/>
        </w:rPr>
        <w:t xml:space="preserve">During November 2024, the FASB issued ASU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 Disaggregation of 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Statement Expenses. </w:t>
      </w:r>
      <w:r>
        <w:rPr>
          <w:rFonts w:ascii="Times New Roman" w:cs="Times New Roman" w:eastAsia="Times New Roman" w:hAnsi="Times New Roman"/>
          <w:sz w:val="14"/>
          <w:szCs w:val="14"/>
          <w:color w:val="auto"/>
        </w:rPr>
        <w:t>The guidance requires public companies to disclose, in the notes to financial statements, specified information about certain costs and expenses at each interim and annual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reporting period. This guidance is effective for public business entities for annual reporting periods beginning after December 15, 2026, and interim reporting periods beginning after December 15, 2027. The Company expects to adopt this guidance in its fiscal year beginning January 1, 2027. The Company is evaluating the potential impact of this guidance on its consolidated financial statement disclosures.</w:t>
      </w:r>
    </w:p>
    <w:p>
      <w:pPr>
        <w:spacing w:after="0" w:line="9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 xml:space="preserve">During June 2024, the FASB issued ASU 2024-01, </w:t>
      </w:r>
      <w:r>
        <w:rPr>
          <w:rFonts w:ascii="Times New Roman" w:cs="Times New Roman" w:eastAsia="Times New Roman" w:hAnsi="Times New Roman"/>
          <w:sz w:val="14"/>
          <w:szCs w:val="14"/>
          <w:i w:val="1"/>
          <w:iCs w:val="1"/>
          <w:color w:val="auto"/>
        </w:rPr>
        <w:t>Compensation - Stock Compensation (Topic 718),</w:t>
      </w:r>
      <w:r>
        <w:rPr>
          <w:rFonts w:ascii="Times New Roman" w:cs="Times New Roman" w:eastAsia="Times New Roman" w:hAnsi="Times New Roman"/>
          <w:sz w:val="14"/>
          <w:szCs w:val="14"/>
          <w:color w:val="auto"/>
        </w:rPr>
        <w:t xml:space="preserve"> which provides guidance on the scope application of profits interest and similar awards. This guidance is effective for public business entities for annual reporting periods beginning after December 15, 2024, and interim reporting periods beginning after December 15, 2025. The Company has determined that there is no impact of this guidance on its consolidated financial statement disclosures as the Company's stock compensation does not allow for profits interest and similar awards.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BASIC AND DILUTED EARNINGS (LOSS) PER SHARE</w:t>
      </w:r>
    </w:p>
    <w:p>
      <w:pPr>
        <w:spacing w:after="0" w:line="13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 xml:space="preserve">The Company computes earnings (loss) per share in accordance with ASC 260, </w:t>
      </w:r>
      <w:r>
        <w:rPr>
          <w:rFonts w:ascii="Times New Roman" w:cs="Times New Roman" w:eastAsia="Times New Roman" w:hAnsi="Times New Roman"/>
          <w:sz w:val="14"/>
          <w:szCs w:val="14"/>
          <w:i w:val="1"/>
          <w:iCs w:val="1"/>
          <w:color w:val="auto"/>
        </w:rPr>
        <w:t>Earnings per Share</w:t>
      </w:r>
      <w:r>
        <w:rPr>
          <w:rFonts w:ascii="Times New Roman" w:cs="Times New Roman" w:eastAsia="Times New Roman" w:hAnsi="Times New Roman"/>
          <w:sz w:val="14"/>
          <w:szCs w:val="14"/>
          <w:color w:val="auto"/>
        </w:rPr>
        <w:t>, which requires presentation of both basic and diluted earnings per share on the face of the consolidated statements of operations and other comprehensive loss. Basic earnings (loss) per share is computed by dividing net income (loss) available to common shareholders by the weighted average number of outstanding shares during the period. Diluted earnings (loss) per share gives effect to all dilutive potential common shares outstanding during the period. Due to their anti-dilutive effect, the calculation of diluted net loss per share for the year ended December 31, 2025 and the year ended December 31, 2024 does not include the common stock equivalent shares and nonvested shares. The Company’s weighted-average shares utilized for its calculation of earnings (loss) per share includes only the common shares outstanding.</w:t>
      </w:r>
    </w:p>
    <w:p>
      <w:pPr>
        <w:spacing w:after="0" w:line="99"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The following table includes the outstanding number of shares and potentially dilutive stock options and Restricted Stock Units ("RSU's") as of December 31, 2025 and December 31, 2024, respectively: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20" w:type="dxa"/>
            <w:vAlign w:val="bottom"/>
          </w:tcPr>
          <w:p>
            <w:pPr>
              <w:spacing w:after="0"/>
              <w:rPr>
                <w:sz w:val="14"/>
                <w:szCs w:val="14"/>
                <w:color w:val="auto"/>
              </w:rPr>
            </w:pPr>
          </w:p>
        </w:tc>
        <w:tc>
          <w:tcPr>
            <w:tcW w:w="180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720" w:type="dxa"/>
            <w:vAlign w:val="bottom"/>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4"/>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shares outstanding</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20,821,959</w:t>
            </w:r>
          </w:p>
        </w:tc>
        <w:tc>
          <w:tcPr>
            <w:tcW w:w="8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16,883,847</w:t>
            </w:r>
          </w:p>
        </w:tc>
      </w:tr>
      <w:tr>
        <w:trPr>
          <w:trHeight w:val="183"/>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Nonvested shares outstanding</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4,352,533</w:t>
            </w: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7,133,752</w:t>
            </w:r>
          </w:p>
        </w:tc>
      </w:tr>
      <w:tr>
        <w:trPr>
          <w:trHeight w:val="18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Legally outstanding shares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25,174,492</w:t>
            </w:r>
          </w:p>
        </w:tc>
        <w:tc>
          <w:tcPr>
            <w:tcW w:w="8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24,017,599</w:t>
            </w:r>
          </w:p>
        </w:tc>
      </w:tr>
      <w:tr>
        <w:trPr>
          <w:trHeight w:val="191"/>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 xml:space="preserve">Stock options and RSUs outstanding </w:t>
            </w:r>
            <w:r>
              <w:rPr>
                <w:rFonts w:ascii="Times New Roman" w:cs="Times New Roman" w:eastAsia="Times New Roman" w:hAnsi="Times New Roman"/>
                <w:sz w:val="16"/>
                <w:szCs w:val="16"/>
                <w:color w:val="auto"/>
                <w:vertAlign w:val="superscript"/>
              </w:rPr>
              <w:t>(1)</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1,693,734</w:t>
            </w: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1,546,039</w:t>
            </w:r>
          </w:p>
        </w:tc>
      </w:tr>
      <w:tr>
        <w:trPr>
          <w:trHeight w:val="174"/>
        </w:trPr>
        <w:tc>
          <w:tcPr>
            <w:tcW w:w="7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fully diluted shares</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26,868,226</w:t>
            </w:r>
          </w:p>
        </w:tc>
        <w:tc>
          <w:tcPr>
            <w:tcW w:w="8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25,563,638</w:t>
            </w:r>
          </w:p>
        </w:tc>
      </w:tr>
    </w:tbl>
    <w:p>
      <w:pPr>
        <w:spacing w:after="0" w:line="184" w:lineRule="exact"/>
        <w:rPr>
          <w:sz w:val="20"/>
          <w:szCs w:val="20"/>
          <w:color w:val="auto"/>
        </w:rPr>
      </w:pPr>
    </w:p>
    <w:p>
      <w:pPr>
        <w:ind w:left="100" w:hanging="95"/>
        <w:spacing w:after="0"/>
        <w:tabs>
          <w:tab w:leader="none" w:pos="100" w:val="left"/>
        </w:tabs>
        <w:numPr>
          <w:ilvl w:val="0"/>
          <w:numId w:val="2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The holders of Restricted Stock Units and Stock Options are not entitled to dividends or to vote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includes the weighted average shares outstanding and potentially dilutive stock options and RSUs for years ended December 31, 2025 and 2024, respectively: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78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6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170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8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shares, weighted average</w:t>
            </w: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17,466,665</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13,409,160</w:t>
            </w:r>
          </w:p>
        </w:tc>
      </w:tr>
      <w:tr>
        <w:trPr>
          <w:trHeight w:val="183"/>
        </w:trPr>
        <w:tc>
          <w:tcPr>
            <w:tcW w:w="8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Nonvested shares, weighted average</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7,308,131</w:t>
            </w:r>
          </w:p>
        </w:tc>
        <w:tc>
          <w:tcPr>
            <w:tcW w:w="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10,231,644</w:t>
            </w:r>
          </w:p>
        </w:tc>
      </w:tr>
      <w:tr>
        <w:trPr>
          <w:trHeight w:val="189"/>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Legally outstanding shares, weighted average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24,774,796</w:t>
            </w:r>
          </w:p>
        </w:tc>
        <w:tc>
          <w:tcPr>
            <w:tcW w:w="8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23,640,804</w:t>
            </w:r>
          </w:p>
        </w:tc>
      </w:tr>
      <w:tr>
        <w:trPr>
          <w:trHeight w:val="183"/>
        </w:trPr>
        <w:tc>
          <w:tcPr>
            <w:tcW w:w="8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Stock options and RSUs outstanding, weighted average</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1,664,182</w:t>
            </w:r>
          </w:p>
        </w:tc>
        <w:tc>
          <w:tcPr>
            <w:tcW w:w="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1,313,622</w:t>
            </w:r>
          </w:p>
        </w:tc>
      </w:tr>
      <w:tr>
        <w:trPr>
          <w:trHeight w:val="182"/>
        </w:trPr>
        <w:tc>
          <w:tcPr>
            <w:tcW w:w="88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securities on a fully diluted basis, weighted average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26,438,978</w:t>
            </w:r>
          </w:p>
        </w:tc>
        <w:tc>
          <w:tcPr>
            <w:tcW w:w="8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24,954,426</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the computation of basic and diluted loss per share for the years ended December 31, 2025 and 2024,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gridSpan w:val="3"/>
          </w:tcPr>
          <w:p>
            <w:pPr>
              <w:jc w:val="center"/>
              <w:ind w:left="576"/>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Borders>
              <w:bottom w:val="single" w:sz="8" w:color="auto"/>
            </w:tcBorders>
          </w:tcPr>
          <w:p>
            <w:pPr>
              <w:spacing w:after="0"/>
              <w:rPr>
                <w:sz w:val="14"/>
                <w:szCs w:val="14"/>
                <w:color w:val="auto"/>
              </w:rPr>
            </w:pPr>
          </w:p>
        </w:tc>
      </w:tr>
      <w:tr>
        <w:trPr>
          <w:trHeight w:val="17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3"/>
        </w:trPr>
        <w:tc>
          <w:tcPr>
            <w:tcW w:w="7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losses</w:t>
            </w:r>
          </w:p>
        </w:tc>
        <w:tc>
          <w:tcPr>
            <w:tcW w:w="800" w:type="dxa"/>
            <w:vAlign w:val="bottom"/>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(39,001)</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(23,957)</w:t>
            </w:r>
          </w:p>
        </w:tc>
      </w:tr>
      <w:tr>
        <w:trPr>
          <w:trHeight w:val="191"/>
        </w:trPr>
        <w:tc>
          <w:tcPr>
            <w:tcW w:w="77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Less unvested common stock dividends under the two - class method</w:t>
            </w:r>
          </w:p>
        </w:tc>
        <w:tc>
          <w:tcPr>
            <w:tcW w:w="8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(2,427)</w:t>
            </w:r>
          </w:p>
        </w:tc>
        <w:tc>
          <w:tcPr>
            <w:tcW w:w="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(7,396)</w:t>
            </w:r>
          </w:p>
        </w:tc>
      </w:tr>
      <w:tr>
        <w:trPr>
          <w:trHeight w:val="182"/>
        </w:trPr>
        <w:tc>
          <w:tcPr>
            <w:tcW w:w="7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loss attributable to common stockholders</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(41,428)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(31,353)</w:t>
            </w:r>
          </w:p>
        </w:tc>
      </w:tr>
      <w:tr>
        <w:trPr>
          <w:trHeight w:val="220"/>
        </w:trPr>
        <w:tc>
          <w:tcPr>
            <w:tcW w:w="77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183"/>
        </w:trPr>
        <w:tc>
          <w:tcPr>
            <w:tcW w:w="7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1"/>
        </w:trPr>
        <w:tc>
          <w:tcPr>
            <w:tcW w:w="77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Weighted-average basic and diluted shares outstanding</w:t>
            </w:r>
          </w:p>
        </w:tc>
        <w:tc>
          <w:tcPr>
            <w:tcW w:w="8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17,466,665</w:t>
            </w:r>
          </w:p>
        </w:tc>
        <w:tc>
          <w:tcPr>
            <w:tcW w:w="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13,409,160</w:t>
            </w:r>
          </w:p>
        </w:tc>
      </w:tr>
      <w:tr>
        <w:trPr>
          <w:trHeight w:val="182"/>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Basic and diluted loss per share</w:t>
            </w:r>
          </w:p>
        </w:tc>
        <w:tc>
          <w:tcPr>
            <w:tcW w:w="8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(2.37)</w:t>
            </w:r>
          </w:p>
        </w:tc>
        <w:tc>
          <w:tcPr>
            <w:tcW w:w="3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(2.34)</w:t>
            </w:r>
          </w:p>
        </w:tc>
      </w:tr>
      <w:tr>
        <w:trPr>
          <w:trHeight w:val="358"/>
        </w:trPr>
        <w:tc>
          <w:tcPr>
            <w:tcW w:w="7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4. REVENUE</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0"/>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provides disaggregated revenue by revenue type:</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2"/>
        </w:trPr>
        <w:tc>
          <w:tcPr>
            <w:tcW w:w="7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9"/>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82"/>
        </w:trPr>
        <w:tc>
          <w:tcPr>
            <w:tcW w:w="778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Borders>
              <w:bottom w:val="single" w:sz="8" w:color="auto"/>
            </w:tcBorders>
          </w:tcPr>
          <w:p>
            <w:pPr>
              <w:spacing w:after="0"/>
              <w:rPr>
                <w:sz w:val="15"/>
                <w:szCs w:val="15"/>
                <w:color w:val="auto"/>
              </w:rPr>
            </w:pPr>
          </w:p>
        </w:tc>
      </w:tr>
      <w:tr>
        <w:trPr>
          <w:trHeight w:val="18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Government Relations Consulting revenue</w:t>
            </w: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108,495</w:t>
            </w:r>
          </w:p>
        </w:tc>
        <w:tc>
          <w:tcPr>
            <w:tcW w:w="60" w:type="dxa"/>
            <w:vAlign w:val="bottom"/>
            <w:shd w:val="clear" w:color="auto" w:fill="CCEEFF"/>
          </w:tcPr>
          <w:p>
            <w:pPr>
              <w:spacing w:after="0"/>
              <w:rPr>
                <w:sz w:val="16"/>
                <w:szCs w:val="16"/>
                <w:color w:val="auto"/>
              </w:rPr>
            </w:pPr>
          </w:p>
        </w:tc>
        <w:tc>
          <w:tcPr>
            <w:tcW w:w="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102,464</w:t>
            </w:r>
          </w:p>
        </w:tc>
        <w:tc>
          <w:tcPr>
            <w:tcW w:w="40" w:type="dxa"/>
            <w:vAlign w:val="bottom"/>
            <w:shd w:val="clear" w:color="auto" w:fill="CCEEFF"/>
          </w:tcPr>
          <w:p>
            <w:pPr>
              <w:spacing w:after="0"/>
              <w:rPr>
                <w:sz w:val="16"/>
                <w:szCs w:val="16"/>
                <w:color w:val="auto"/>
              </w:rPr>
            </w:pPr>
          </w:p>
        </w:tc>
      </w:tr>
      <w:tr>
        <w:trPr>
          <w:trHeight w:val="183"/>
        </w:trPr>
        <w:tc>
          <w:tcPr>
            <w:tcW w:w="77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Corporate Communications &amp; Public Affairs Consulting revenue</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65,050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36,405</w:t>
            </w:r>
          </w:p>
        </w:tc>
        <w:tc>
          <w:tcPr>
            <w:tcW w:w="40" w:type="dxa"/>
            <w:vAlign w:val="bottom"/>
          </w:tcPr>
          <w:p>
            <w:pPr>
              <w:spacing w:after="0"/>
              <w:rPr>
                <w:sz w:val="15"/>
                <w:szCs w:val="15"/>
                <w:color w:val="auto"/>
              </w:rPr>
            </w:pPr>
          </w:p>
        </w:tc>
      </w:tr>
      <w:tr>
        <w:trPr>
          <w:trHeight w:val="191"/>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Compliance and Insights Services revenue</w:t>
            </w:r>
          </w:p>
        </w:tc>
        <w:tc>
          <w:tcPr>
            <w:tcW w:w="8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12,996</w:t>
            </w:r>
          </w:p>
        </w:tc>
        <w:tc>
          <w:tcPr>
            <w:tcW w:w="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10,694</w:t>
            </w:r>
          </w:p>
        </w:tc>
        <w:tc>
          <w:tcPr>
            <w:tcW w:w="40" w:type="dxa"/>
            <w:vAlign w:val="bottom"/>
            <w:tcBorders>
              <w:bottom w:val="single" w:sz="8" w:color="auto"/>
            </w:tcBorders>
            <w:shd w:val="clear" w:color="auto" w:fill="CCEEFF"/>
          </w:tcPr>
          <w:p>
            <w:pPr>
              <w:spacing w:after="0"/>
              <w:rPr>
                <w:sz w:val="16"/>
                <w:szCs w:val="16"/>
                <w:color w:val="auto"/>
              </w:rPr>
            </w:pPr>
          </w:p>
        </w:tc>
      </w:tr>
      <w:tr>
        <w:trPr>
          <w:trHeight w:val="182"/>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revenue</w:t>
            </w:r>
          </w:p>
        </w:tc>
        <w:tc>
          <w:tcPr>
            <w:tcW w:w="10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186,541</w:t>
            </w: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149,563</w:t>
            </w:r>
          </w:p>
        </w:tc>
        <w:tc>
          <w:tcPr>
            <w:tcW w:w="40" w:type="dxa"/>
            <w:vAlign w:val="bottom"/>
            <w:tcBorders>
              <w:bottom w:val="single" w:sz="8" w:color="auto"/>
            </w:tcBorders>
          </w:tcPr>
          <w:p>
            <w:pPr>
              <w:spacing w:after="0"/>
              <w:rPr>
                <w:sz w:val="15"/>
                <w:szCs w:val="15"/>
                <w:color w:val="auto"/>
              </w:rPr>
            </w:pPr>
          </w:p>
        </w:tc>
      </w:tr>
      <w:tr>
        <w:trPr>
          <w:trHeight w:val="358"/>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Revenue by geographic region:</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2"/>
        </w:trPr>
        <w:tc>
          <w:tcPr>
            <w:tcW w:w="7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9"/>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82"/>
        </w:trPr>
        <w:tc>
          <w:tcPr>
            <w:tcW w:w="778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5"/>
                <w:szCs w:val="15"/>
                <w:color w:val="auto"/>
              </w:rPr>
            </w:pPr>
          </w:p>
        </w:tc>
      </w:tr>
      <w:tr>
        <w:trPr>
          <w:trHeight w:val="16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United States</w:t>
            </w:r>
          </w:p>
        </w:tc>
        <w:tc>
          <w:tcPr>
            <w:tcW w:w="8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177,648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145,482</w:t>
            </w:r>
          </w:p>
        </w:tc>
        <w:tc>
          <w:tcPr>
            <w:tcW w:w="40" w:type="dxa"/>
            <w:vAlign w:val="bottom"/>
          </w:tcPr>
          <w:p>
            <w:pPr>
              <w:spacing w:after="0"/>
              <w:rPr>
                <w:sz w:val="14"/>
                <w:szCs w:val="14"/>
                <w:color w:val="auto"/>
              </w:rPr>
            </w:pPr>
          </w:p>
        </w:tc>
      </w:tr>
      <w:tr>
        <w:trPr>
          <w:trHeight w:val="169"/>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International</w:t>
            </w: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5"/>
              </w:rPr>
              <w:t>8,893</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4,081</w:t>
            </w:r>
          </w:p>
        </w:tc>
        <w:tc>
          <w:tcPr>
            <w:tcW w:w="40" w:type="dxa"/>
            <w:vAlign w:val="bottom"/>
          </w:tcPr>
          <w:p>
            <w:pPr>
              <w:spacing w:after="0"/>
              <w:rPr>
                <w:sz w:val="14"/>
                <w:szCs w:val="14"/>
                <w:color w:val="auto"/>
              </w:rPr>
            </w:pPr>
          </w:p>
        </w:tc>
      </w:tr>
      <w:tr>
        <w:trPr>
          <w:trHeight w:val="160"/>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 by geographic market</w:t>
            </w:r>
          </w:p>
        </w:tc>
        <w:tc>
          <w:tcPr>
            <w:tcW w:w="1060" w:type="dxa"/>
            <w:vAlign w:val="bottom"/>
            <w:tcBorders>
              <w:bottom w:val="single" w:sz="8" w:color="auto"/>
            </w:tcBorders>
            <w:gridSpan w:val="3"/>
            <w:shd w:val="clear" w:color="auto" w:fill="CCEEFF"/>
          </w:tcPr>
          <w:p>
            <w:pPr>
              <w:jc w:val="center"/>
              <w:ind w:left="5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186,541</w:t>
            </w:r>
          </w:p>
        </w:tc>
        <w:tc>
          <w:tcPr>
            <w:tcW w:w="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149,563</w:t>
            </w:r>
          </w:p>
        </w:tc>
        <w:tc>
          <w:tcPr>
            <w:tcW w:w="40" w:type="dxa"/>
            <w:vAlign w:val="bottom"/>
          </w:tcPr>
          <w:p>
            <w:pPr>
              <w:spacing w:after="0"/>
              <w:rPr>
                <w:sz w:val="13"/>
                <w:szCs w:val="13"/>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CONTRACT BALANCES AND ALLOWANCE FOR EXPECTED CREDIT LOSSES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about receivables, contract receivables and contract liabilities from contracts with customers as of:</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4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color w:val="auto"/>
              </w:rPr>
              <w:t>December 31, 2024</w:t>
            </w:r>
          </w:p>
        </w:tc>
      </w:tr>
      <w:tr>
        <w:trPr>
          <w:trHeight w:val="18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receivable</w:t>
            </w:r>
          </w:p>
        </w:tc>
        <w:tc>
          <w:tcPr>
            <w:tcW w:w="1500" w:type="dxa"/>
            <w:vAlign w:val="bottom"/>
            <w:shd w:val="clear" w:color="auto" w:fill="CCEEFF"/>
          </w:tcPr>
          <w:p>
            <w:pPr>
              <w:jc w:val="right"/>
              <w:ind w:right="13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23,831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19,162</w:t>
            </w:r>
          </w:p>
        </w:tc>
      </w:tr>
      <w:tr>
        <w:trPr>
          <w:trHeight w:val="183"/>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Unbilled receivables</w:t>
            </w:r>
          </w:p>
        </w:tc>
        <w:tc>
          <w:tcPr>
            <w:tcW w:w="15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512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w:t>
            </w:r>
          </w:p>
        </w:tc>
      </w:tr>
      <w:tr>
        <w:trPr>
          <w:trHeight w:val="191"/>
        </w:trPr>
        <w:tc>
          <w:tcPr>
            <w:tcW w:w="7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Allowance for expected credit losses</w:t>
            </w:r>
          </w:p>
        </w:tc>
        <w:tc>
          <w:tcPr>
            <w:tcW w:w="15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(2,492)</w:t>
            </w:r>
          </w:p>
        </w:tc>
        <w:tc>
          <w:tcPr>
            <w:tcW w:w="1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(1,102)</w:t>
            </w:r>
          </w:p>
        </w:tc>
      </w:tr>
      <w:tr>
        <w:trPr>
          <w:trHeight w:val="182"/>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contract receivables, net</w:t>
            </w:r>
          </w:p>
        </w:tc>
        <w:tc>
          <w:tcPr>
            <w:tcW w:w="15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21,851</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18,285</w:t>
            </w:r>
          </w:p>
        </w:tc>
      </w:tr>
      <w:tr>
        <w:trPr>
          <w:trHeight w:val="182"/>
        </w:trPr>
        <w:tc>
          <w:tcPr>
            <w:tcW w:w="7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Contract Liabilities / (Deferred revenue)</w:t>
            </w:r>
          </w:p>
        </w:tc>
        <w:tc>
          <w:tcPr>
            <w:tcW w:w="1500" w:type="dxa"/>
            <w:vAlign w:val="bottom"/>
            <w:tcBorders>
              <w:bottom w:val="single" w:sz="8" w:color="auto"/>
            </w:tcBorders>
            <w:shd w:val="clear" w:color="auto" w:fill="CCEEFF"/>
          </w:tcPr>
          <w:p>
            <w:pPr>
              <w:jc w:val="right"/>
              <w:ind w:right="13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(3,310)</w:t>
            </w:r>
          </w:p>
        </w:tc>
        <w:tc>
          <w:tcPr>
            <w:tcW w:w="1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(3,150)</w:t>
            </w:r>
          </w:p>
        </w:tc>
      </w:tr>
    </w:tbl>
    <w:p>
      <w:pPr>
        <w:spacing w:after="0" w:line="18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Contract liabilities relate to advance consideration received from customers under the terms of the Company's contracts primarily related to retainer fees and reimbursements of third-party expenses, both of which are generally recognized shortly after billing. Deferred revenue of $3.3 million and $3.2 million from December 31, 2025 and December 31, 2024 is expected to be recognized as revenue within one year of the respective balance sheet date.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360" w:type="dxa"/>
            <w:vAlign w:val="bottom"/>
          </w:tcPr>
          <w:p>
            <w:pPr>
              <w:jc w:val="center"/>
              <w:ind w:left="1854"/>
              <w:spacing w:after="0"/>
              <w:rPr>
                <w:sz w:val="20"/>
                <w:szCs w:val="20"/>
                <w:color w:val="auto"/>
              </w:rPr>
            </w:pPr>
            <w:r>
              <w:rPr>
                <w:rFonts w:ascii="Times New Roman" w:cs="Times New Roman" w:eastAsia="Times New Roman" w:hAnsi="Times New Roman"/>
                <w:sz w:val="16"/>
                <w:szCs w:val="16"/>
                <w:b w:val="1"/>
                <w:bCs w:val="1"/>
                <w:color w:val="auto"/>
                <w:w w:val="96"/>
              </w:rPr>
              <w:t>PUBLIC POLICY HOLDING COMPANY, INC. AND SUBSIDIARIES</w:t>
            </w: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91"/>
        </w:trPr>
        <w:tc>
          <w:tcPr>
            <w:tcW w:w="9360" w:type="dxa"/>
            <w:vAlign w:val="bottom"/>
          </w:tcPr>
          <w:p>
            <w:pPr>
              <w:jc w:val="center"/>
              <w:ind w:left="1874"/>
              <w:spacing w:after="0"/>
              <w:rPr>
                <w:sz w:val="20"/>
                <w:szCs w:val="20"/>
                <w:color w:val="auto"/>
              </w:rPr>
            </w:pPr>
            <w:r>
              <w:rPr>
                <w:rFonts w:ascii="Times New Roman" w:cs="Times New Roman" w:eastAsia="Times New Roman" w:hAnsi="Times New Roman"/>
                <w:sz w:val="14"/>
                <w:szCs w:val="14"/>
                <w:b w:val="1"/>
                <w:bCs w:val="1"/>
                <w:color w:val="auto"/>
                <w:w w:val="99"/>
              </w:rPr>
              <w:t>NOTES TO CONSOLIDATED FINANCIAL STATEMENTS</w:t>
            </w: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9360" w:type="dxa"/>
            <w:vAlign w:val="bottom"/>
          </w:tcPr>
          <w:p>
            <w:pPr>
              <w:jc w:val="center"/>
              <w:ind w:left="1854"/>
              <w:spacing w:after="0"/>
              <w:rPr>
                <w:sz w:val="20"/>
                <w:szCs w:val="20"/>
                <w:color w:val="auto"/>
              </w:rPr>
            </w:pPr>
            <w:r>
              <w:rPr>
                <w:rFonts w:ascii="Times New Roman" w:cs="Times New Roman" w:eastAsia="Times New Roman" w:hAnsi="Times New Roman"/>
                <w:sz w:val="13"/>
                <w:szCs w:val="13"/>
                <w:b w:val="1"/>
                <w:bCs w:val="1"/>
                <w:color w:val="auto"/>
                <w:w w:val="97"/>
              </w:rPr>
              <w:t>(Amounts in thousands, except share and per share data)</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92"/>
        </w:trPr>
        <w:tc>
          <w:tcPr>
            <w:tcW w:w="93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summarized information about the activity in the allowance for expected credit losses as follows:</w:t>
            </w: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49"/>
        </w:trPr>
        <w:tc>
          <w:tcPr>
            <w:tcW w:w="9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91"/>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84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794</w:t>
            </w:r>
          </w:p>
        </w:tc>
      </w:tr>
      <w:tr>
        <w:trPr>
          <w:trHeight w:val="183"/>
        </w:trPr>
        <w:tc>
          <w:tcPr>
            <w:tcW w:w="9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Provision for expected credit losses</w:t>
            </w:r>
          </w:p>
        </w:tc>
        <w:tc>
          <w:tcPr>
            <w:tcW w:w="8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1,024</w:t>
            </w:r>
          </w:p>
        </w:tc>
      </w:tr>
      <w:tr>
        <w:trPr>
          <w:trHeight w:val="191"/>
        </w:trPr>
        <w:tc>
          <w:tcPr>
            <w:tcW w:w="9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(Write-off)/Recoveries</w:t>
            </w:r>
          </w:p>
        </w:tc>
        <w:tc>
          <w:tcPr>
            <w:tcW w:w="8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w:t>
            </w:r>
          </w:p>
        </w:tc>
      </w:tr>
      <w:tr>
        <w:trPr>
          <w:trHeight w:val="182"/>
        </w:trPr>
        <w:tc>
          <w:tcPr>
            <w:tcW w:w="9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840" w:type="dxa"/>
            <w:vAlign w:val="bottom"/>
          </w:tcPr>
          <w:p>
            <w:pPr>
              <w:jc w:val="right"/>
              <w:ind w:right="622"/>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1,102</w:t>
            </w:r>
          </w:p>
        </w:tc>
      </w:tr>
      <w:tr>
        <w:trPr>
          <w:trHeight w:val="199"/>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for expected credit losses</w:t>
            </w: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2,353</w:t>
            </w:r>
          </w:p>
        </w:tc>
      </w:tr>
      <w:tr>
        <w:trPr>
          <w:trHeight w:val="183"/>
        </w:trPr>
        <w:tc>
          <w:tcPr>
            <w:tcW w:w="9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(Write-off)/Recoveries</w:t>
            </w:r>
          </w:p>
        </w:tc>
        <w:tc>
          <w:tcPr>
            <w:tcW w:w="8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(963)</w:t>
            </w:r>
          </w:p>
        </w:tc>
      </w:tr>
      <w:tr>
        <w:trPr>
          <w:trHeight w:val="182"/>
        </w:trPr>
        <w:tc>
          <w:tcPr>
            <w:tcW w:w="9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840" w:type="dxa"/>
            <w:vAlign w:val="bottom"/>
            <w:tcBorders>
              <w:bottom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2,492</w:t>
            </w:r>
          </w:p>
        </w:tc>
      </w:tr>
      <w:tr>
        <w:trPr>
          <w:trHeight w:val="369"/>
        </w:trPr>
        <w:tc>
          <w:tcPr>
            <w:tcW w:w="9360" w:type="dxa"/>
            <w:vAlign w:val="bottom"/>
          </w:tcPr>
          <w:p>
            <w:pPr>
              <w:spacing w:after="0"/>
              <w:rPr>
                <w:sz w:val="20"/>
                <w:szCs w:val="20"/>
                <w:color w:val="auto"/>
              </w:rPr>
            </w:pPr>
            <w:r>
              <w:rPr>
                <w:rFonts w:ascii="Times New Roman" w:cs="Times New Roman" w:eastAsia="Times New Roman" w:hAnsi="Times New Roman"/>
                <w:sz w:val="14"/>
                <w:szCs w:val="14"/>
                <w:color w:val="auto"/>
              </w:rPr>
              <w:t>As of December 31, 2025 and 2024 the balance of the allowance for credit losses approximated $2.5 million and $1.1 million.</w:t>
            </w: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7"/>
        </w:trPr>
        <w:tc>
          <w:tcPr>
            <w:tcW w:w="9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6. GOODWILL AND INTANGIBLE ASSETS</w:t>
            </w: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7"/>
        </w:trPr>
        <w:tc>
          <w:tcPr>
            <w:tcW w:w="9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7"/>
        </w:trPr>
        <w:tc>
          <w:tcPr>
            <w:tcW w:w="9360" w:type="dxa"/>
            <w:vAlign w:val="bottom"/>
          </w:tcPr>
          <w:p>
            <w:pPr>
              <w:spacing w:after="0"/>
              <w:rPr>
                <w:sz w:val="20"/>
                <w:szCs w:val="20"/>
                <w:color w:val="auto"/>
              </w:rPr>
            </w:pPr>
            <w:r>
              <w:rPr>
                <w:rFonts w:ascii="Times New Roman" w:cs="Times New Roman" w:eastAsia="Times New Roman" w:hAnsi="Times New Roman"/>
                <w:sz w:val="14"/>
                <w:szCs w:val="14"/>
                <w:color w:val="auto"/>
              </w:rPr>
              <w:t>Goodwill is an indefinite lived asset with balances as follows:</w:t>
            </w: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49"/>
        </w:trPr>
        <w:tc>
          <w:tcPr>
            <w:tcW w:w="9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91"/>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84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47,910</w:t>
            </w:r>
          </w:p>
        </w:tc>
      </w:tr>
      <w:tr>
        <w:trPr>
          <w:trHeight w:val="183"/>
        </w:trPr>
        <w:tc>
          <w:tcPr>
            <w:tcW w:w="9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Acquired goodwill</w:t>
            </w:r>
          </w:p>
        </w:tc>
        <w:tc>
          <w:tcPr>
            <w:tcW w:w="8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16,779</w:t>
            </w:r>
          </w:p>
        </w:tc>
      </w:tr>
      <w:tr>
        <w:trPr>
          <w:trHeight w:val="191"/>
        </w:trPr>
        <w:tc>
          <w:tcPr>
            <w:tcW w:w="9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8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w:t>
            </w:r>
          </w:p>
        </w:tc>
      </w:tr>
      <w:tr>
        <w:trPr>
          <w:trHeight w:val="182"/>
        </w:trPr>
        <w:tc>
          <w:tcPr>
            <w:tcW w:w="9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84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64,308</w:t>
            </w:r>
          </w:p>
        </w:tc>
      </w:tr>
      <w:tr>
        <w:trPr>
          <w:trHeight w:val="189"/>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w:t>
            </w:r>
          </w:p>
        </w:tc>
        <w:tc>
          <w:tcPr>
            <w:tcW w:w="8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(6,219)</w:t>
            </w:r>
          </w:p>
        </w:tc>
      </w:tr>
      <w:tr>
        <w:trPr>
          <w:trHeight w:val="183"/>
        </w:trPr>
        <w:tc>
          <w:tcPr>
            <w:tcW w:w="9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adjustment</w:t>
            </w:r>
          </w:p>
        </w:tc>
        <w:tc>
          <w:tcPr>
            <w:tcW w:w="8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(2,527)</w:t>
            </w:r>
          </w:p>
        </w:tc>
      </w:tr>
      <w:tr>
        <w:trPr>
          <w:trHeight w:val="191"/>
        </w:trPr>
        <w:tc>
          <w:tcPr>
            <w:tcW w:w="9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8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1,428</w:t>
            </w:r>
          </w:p>
        </w:tc>
      </w:tr>
      <w:tr>
        <w:trPr>
          <w:trHeight w:val="182"/>
        </w:trPr>
        <w:tc>
          <w:tcPr>
            <w:tcW w:w="9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84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56,990</w:t>
            </w:r>
          </w:p>
        </w:tc>
      </w:tr>
    </w:tbl>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Due to a combination of customer attrition and employee turnover at Pagefield, revenue and pre-bonus EBITDA were lower than expected in the first nine months of 2025. Based on that, the projected cash flows for the next five years were revised. We incurred a non-cash impairment charge of $6.2 million in 2025 on goodwill related to our Pagefield Government Relations Consulting reporting unit and Pagefield Corporate Communications &amp; Public Affairs reporting unit. The fair value of the reporting units was estimated using the discounted cash flow method and the guideline public company method. This charge is reflected in the loss on impairment of goodwill line item on the Consolidated Statements of Operations and Comprehensive Loss. We did not recognize any impairment charges during 2024. There was no goodwill impairment for the year ended December 31,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Intangible assets</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As of October 1, 2025, we determined that the effects of the expected decline in operations due to the impact of certain client relationships and employee turnover at Pagefield constituted a triggering event for both the Pagefield Government Relations Consulting reporting unit and the Pagefield Corporate Communications &amp; Public Affairs reporting unit. As a result, we conducted a recoverability test by using the undiscounted cashflows of Pagefield acquisition's intangibles which indicated impairment. In order to estimate the fair values, we applied the multi-period excess earnings method for customer relationships. The fair value of the noncompete agreements could be measured directly. Fair value was estimated using the difference between entity value on an “as is” basis with present employees intact and a hypothetical firm value. We therefore concluded that a portion of the trade names and customer relationships was impaired as of December 31, 2025 and recorded non-cash impairment charges of $0.3 million and $2.6 million, respectively within our Pagefield Government Relations Consulting and Pagefield Corporate Communications &amp; Public Affairs Consulting reporting units. The Company has not recorded any impairment charges related to long-lived assets for the year ended December 31, 2024. For the allocation of the impairment charge between segments, see Note 17. The fair value of customer relationships was estimated using the multi-period excess earnings method and the fair value trade names was estimated using the present value of discrete cash flows. These charges are reflected in loss on impairment of intangible assets line item on the Consolidated Statements of Operations and Comprehensive Loss. We did not recognize any impairment charges on indefinite-lived intangible assets during 2024.</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4"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The following presents the Company’s gross and net amounts of intangible assets, other than goodwill, as reported on the Consolidated Balance Sheets as of December 31, 2025 and December 31, 2024: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66"/>
        </w:trPr>
        <w:tc>
          <w:tcPr>
            <w:tcW w:w="508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Weighted Average Useful</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5"/>
        </w:trPr>
        <w:tc>
          <w:tcPr>
            <w:tcW w:w="5080" w:type="dxa"/>
            <w:vAlign w:val="bottom"/>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Life (in Years)</w:t>
            </w:r>
          </w:p>
        </w:tc>
        <w:tc>
          <w:tcPr>
            <w:tcW w:w="160" w:type="dxa"/>
            <w:vAlign w:val="bottom"/>
          </w:tcPr>
          <w:p>
            <w:pPr>
              <w:spacing w:after="0"/>
              <w:rPr>
                <w:sz w:val="15"/>
                <w:szCs w:val="15"/>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Gross Book Value</w:t>
            </w:r>
          </w:p>
        </w:tc>
        <w:tc>
          <w:tcPr>
            <w:tcW w:w="240" w:type="dxa"/>
            <w:vAlign w:val="bottom"/>
          </w:tcPr>
          <w:p>
            <w:pPr>
              <w:spacing w:after="0"/>
              <w:rPr>
                <w:sz w:val="15"/>
                <w:szCs w:val="15"/>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00" w:type="dxa"/>
            <w:vAlign w:val="bottom"/>
          </w:tcPr>
          <w:p>
            <w:pPr>
              <w:spacing w:after="0"/>
              <w:rPr>
                <w:sz w:val="15"/>
                <w:szCs w:val="15"/>
                <w:color w:val="auto"/>
              </w:rPr>
            </w:pPr>
          </w:p>
        </w:tc>
        <w:tc>
          <w:tcPr>
            <w:tcW w:w="128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Net Book Value</w:t>
            </w:r>
          </w:p>
        </w:tc>
      </w:tr>
      <w:tr>
        <w:trPr>
          <w:trHeight w:val="18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15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5"/>
              </w:rPr>
              <w:t>7.1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40,760</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(20,283)</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20,477</w:t>
            </w:r>
          </w:p>
        </w:tc>
      </w:tr>
      <w:tr>
        <w:trPr>
          <w:trHeight w:val="183"/>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Developed technology</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5"/>
              </w:rPr>
              <w:t>7.0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2,344</w:t>
            </w:r>
          </w:p>
        </w:tc>
      </w:tr>
      <w:tr>
        <w:trPr>
          <w:trHeight w:val="191"/>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Noncompete agreements</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5"/>
              </w:rPr>
              <w:t>4.7</w:t>
            </w: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3,111</w:t>
            </w:r>
          </w:p>
        </w:tc>
        <w:tc>
          <w:tcPr>
            <w:tcW w:w="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(1,309)</w:t>
            </w:r>
          </w:p>
        </w:tc>
        <w:tc>
          <w:tcPr>
            <w:tcW w:w="8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1,802</w:t>
            </w:r>
          </w:p>
        </w:tc>
      </w:tr>
      <w:tr>
        <w:trPr>
          <w:trHeight w:val="182"/>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definite lived assets</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47,809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(23,186)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24,623</w:t>
            </w:r>
          </w:p>
        </w:tc>
      </w:tr>
      <w:tr>
        <w:trPr>
          <w:trHeight w:val="191"/>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Trade names</w:t>
            </w:r>
          </w:p>
        </w:tc>
        <w:tc>
          <w:tcPr>
            <w:tcW w:w="15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12,490</w:t>
            </w:r>
          </w:p>
        </w:tc>
        <w:tc>
          <w:tcPr>
            <w:tcW w:w="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12,490</w:t>
            </w:r>
          </w:p>
        </w:tc>
      </w:tr>
      <w:tr>
        <w:trPr>
          <w:trHeight w:val="182"/>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intangible assets</w:t>
            </w:r>
          </w:p>
        </w:tc>
        <w:tc>
          <w:tcPr>
            <w:tcW w:w="1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60,299</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(23,186)</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37,113</w:t>
            </w:r>
          </w:p>
        </w:tc>
      </w:tr>
      <w:tr>
        <w:trPr>
          <w:trHeight w:val="404"/>
        </w:trPr>
        <w:tc>
          <w:tcPr>
            <w:tcW w:w="508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55"/>
        </w:trPr>
        <w:tc>
          <w:tcPr>
            <w:tcW w:w="508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Weighted Average Useful</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6"/>
        </w:trPr>
        <w:tc>
          <w:tcPr>
            <w:tcW w:w="508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Life (in Years)</w:t>
            </w:r>
          </w:p>
        </w:tc>
        <w:tc>
          <w:tcPr>
            <w:tcW w:w="16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Gross Book Value</w:t>
            </w: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00" w:type="dxa"/>
            <w:vAlign w:val="bottom"/>
          </w:tcPr>
          <w:p>
            <w:pPr>
              <w:spacing w:after="0"/>
              <w:rPr>
                <w:sz w:val="16"/>
                <w:szCs w:val="16"/>
                <w:color w:val="auto"/>
              </w:rPr>
            </w:pPr>
          </w:p>
        </w:tc>
        <w:tc>
          <w:tcPr>
            <w:tcW w:w="128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Net Book Value</w:t>
            </w:r>
          </w:p>
        </w:tc>
      </w:tr>
      <w:tr>
        <w:trPr>
          <w:trHeight w:val="18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5"/>
              </w:rPr>
              <w:t>7.2</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33,556</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(15,277)</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18,279</w:t>
            </w:r>
          </w:p>
        </w:tc>
      </w:tr>
      <w:tr>
        <w:trPr>
          <w:trHeight w:val="183"/>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Developed technology</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5"/>
              </w:rPr>
              <w:t>7.0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2,907</w:t>
            </w:r>
          </w:p>
        </w:tc>
      </w:tr>
      <w:tr>
        <w:trPr>
          <w:trHeight w:val="191"/>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Noncompete agreements</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5"/>
              </w:rPr>
              <w:t>3.9</w:t>
            </w: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2,070</w:t>
            </w:r>
          </w:p>
        </w:tc>
        <w:tc>
          <w:tcPr>
            <w:tcW w:w="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w:t>
            </w:r>
          </w:p>
        </w:tc>
        <w:tc>
          <w:tcPr>
            <w:tcW w:w="8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1,303</w:t>
            </w:r>
          </w:p>
        </w:tc>
      </w:tr>
      <w:tr>
        <w:trPr>
          <w:trHeight w:val="182"/>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definite lived assets</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39,564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(17,075)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22,489</w:t>
            </w:r>
          </w:p>
        </w:tc>
      </w:tr>
      <w:tr>
        <w:trPr>
          <w:trHeight w:val="191"/>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Trade names</w:t>
            </w:r>
          </w:p>
        </w:tc>
        <w:tc>
          <w:tcPr>
            <w:tcW w:w="15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9,655</w:t>
            </w:r>
          </w:p>
        </w:tc>
        <w:tc>
          <w:tcPr>
            <w:tcW w:w="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9,655</w:t>
            </w:r>
          </w:p>
        </w:tc>
      </w:tr>
      <w:tr>
        <w:trPr>
          <w:trHeight w:val="182"/>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intangible assets</w:t>
            </w:r>
          </w:p>
        </w:tc>
        <w:tc>
          <w:tcPr>
            <w:tcW w:w="1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49,219</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(17,075)</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32,144</w:t>
            </w:r>
          </w:p>
        </w:tc>
      </w:tr>
    </w:tbl>
    <w:p>
      <w:pPr>
        <w:spacing w:after="0" w:line="1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Amortization expense for customer relationship, noncompete agreement and developed technology assets approximated $6.0 million and $4.7 million for the years ended December 31, 2025 and 2024, respectively. The approximate estimated future amortization expense for the next five years and thereafter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48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Amortization</w:t>
            </w:r>
          </w:p>
        </w:tc>
      </w:tr>
      <w:tr>
        <w:trPr>
          <w:trHeight w:val="18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48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6,133</w:t>
            </w:r>
          </w:p>
        </w:tc>
      </w:tr>
      <w:tr>
        <w:trPr>
          <w:trHeight w:val="183"/>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48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5,883</w:t>
            </w:r>
          </w:p>
        </w:tc>
      </w:tr>
      <w:tr>
        <w:trPr>
          <w:trHeight w:val="19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48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4,368</w:t>
            </w:r>
          </w:p>
        </w:tc>
      </w:tr>
      <w:tr>
        <w:trPr>
          <w:trHeight w:val="183"/>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48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4,110</w:t>
            </w:r>
          </w:p>
        </w:tc>
      </w:tr>
      <w:tr>
        <w:trPr>
          <w:trHeight w:val="19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2030</w:t>
            </w:r>
          </w:p>
        </w:tc>
        <w:tc>
          <w:tcPr>
            <w:tcW w:w="48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2,147</w:t>
            </w:r>
          </w:p>
        </w:tc>
      </w:tr>
      <w:tr>
        <w:trPr>
          <w:trHeight w:val="183"/>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48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1,982</w:t>
            </w:r>
          </w:p>
        </w:tc>
      </w:tr>
      <w:tr>
        <w:trPr>
          <w:trHeight w:val="182"/>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8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24,623</w:t>
            </w:r>
          </w:p>
        </w:tc>
      </w:tr>
    </w:tbl>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ACCOUNTS PAYABLE AND ACCRUED EXPENSES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Accounts payable and accrued expenses consist of the following as of:</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4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color w:val="auto"/>
              </w:rPr>
              <w:t>December 31, 2024</w:t>
            </w:r>
          </w:p>
        </w:tc>
      </w:tr>
      <w:tr>
        <w:trPr>
          <w:trHeight w:val="18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w:t>
            </w:r>
          </w:p>
        </w:tc>
        <w:tc>
          <w:tcPr>
            <w:tcW w:w="1500" w:type="dxa"/>
            <w:vAlign w:val="bottom"/>
            <w:shd w:val="clear" w:color="auto" w:fill="CCEEFF"/>
          </w:tcPr>
          <w:p>
            <w:pPr>
              <w:jc w:val="right"/>
              <w:ind w:right="13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6,248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4,753</w:t>
            </w:r>
          </w:p>
        </w:tc>
      </w:tr>
      <w:tr>
        <w:trPr>
          <w:trHeight w:val="183"/>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Bonus payable</w:t>
            </w:r>
          </w:p>
        </w:tc>
        <w:tc>
          <w:tcPr>
            <w:tcW w:w="15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15,855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9,927</w:t>
            </w:r>
          </w:p>
        </w:tc>
      </w:tr>
      <w:tr>
        <w:trPr>
          <w:trHeight w:val="19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appreciation rights liability</w:t>
            </w:r>
          </w:p>
        </w:tc>
        <w:tc>
          <w:tcPr>
            <w:tcW w:w="15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1,964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w:t>
            </w:r>
          </w:p>
        </w:tc>
      </w:tr>
      <w:tr>
        <w:trPr>
          <w:trHeight w:val="183"/>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equity offering costs</w:t>
            </w:r>
          </w:p>
        </w:tc>
        <w:tc>
          <w:tcPr>
            <w:tcW w:w="15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2,598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1"/>
        </w:trPr>
        <w:tc>
          <w:tcPr>
            <w:tcW w:w="7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accrued expenses</w:t>
            </w:r>
          </w:p>
        </w:tc>
        <w:tc>
          <w:tcPr>
            <w:tcW w:w="15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4,154</w:t>
            </w:r>
          </w:p>
        </w:tc>
        <w:tc>
          <w:tcPr>
            <w:tcW w:w="1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4,696</w:t>
            </w:r>
          </w:p>
        </w:tc>
      </w:tr>
      <w:tr>
        <w:trPr>
          <w:trHeight w:val="182"/>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500" w:type="dxa"/>
            <w:vAlign w:val="bottom"/>
            <w:tcBorders>
              <w:bottom w:val="single" w:sz="8" w:color="auto"/>
            </w:tcBorders>
          </w:tcPr>
          <w:p>
            <w:pPr>
              <w:jc w:val="right"/>
              <w:ind w:right="13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30,819</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L</w:t>
      </w:r>
      <w:r>
        <w:rPr>
          <w:rFonts w:ascii="Times New Roman" w:cs="Times New Roman" w:eastAsia="Times New Roman" w:hAnsi="Times New Roman"/>
          <w:sz w:val="11"/>
          <w:szCs w:val="11"/>
          <w:b w:val="1"/>
          <w:bCs w:val="1"/>
          <w:color w:val="auto"/>
        </w:rPr>
        <w:t>EASES</w:t>
      </w:r>
    </w:p>
    <w:p>
      <w:pPr>
        <w:spacing w:after="0" w:line="13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leases office space and equipment under non-cancelable operating leases, which may include renewal or termination options that are reasonably certain of exercise. Most leases include one or more options to renew. The exercise of lease renewal options is at the Company’s sole discretion. Certain of the Company’s lease agreements include rental payments that are adjusted periodically for inflation. The Company’s lease agreements do not contain any material residual value guarantees or material restrictive covenants. The Company subleases office space to third parties under separate sublease agreements, which are generally month-to-month leases.</w:t>
      </w:r>
    </w:p>
    <w:p>
      <w:pPr>
        <w:spacing w:after="0" w:line="9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Company uses our incremental borrowing rate on the commencement date in determining the present value of its lease payments. The discount rate used to measure the lease asset and liability is determined at the beginning of the lease term using the rate implicit in the lease, if readily determinable, or using the Company's collateralized credit-adjusted borrowing rate.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lease costs and other quantitative information: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1000" w:type="dxa"/>
            <w:vAlign w:val="bottom"/>
            <w:tcBorders>
              <w:bottom w:val="single" w:sz="8" w:color="auto"/>
            </w:tcBorders>
          </w:tcPr>
          <w:p>
            <w:pPr>
              <w:spacing w:after="0"/>
              <w:rPr>
                <w:sz w:val="15"/>
                <w:szCs w:val="15"/>
                <w:color w:val="auto"/>
              </w:rPr>
            </w:pPr>
          </w:p>
        </w:tc>
      </w:tr>
      <w:tr>
        <w:trPr>
          <w:trHeight w:val="182"/>
        </w:trPr>
        <w:tc>
          <w:tcPr>
            <w:tcW w:w="78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color w:val="auto"/>
                <w:w w:val="99"/>
              </w:rPr>
              <w:t>2024</w:t>
            </w:r>
          </w:p>
        </w:tc>
      </w:tr>
      <w:tr>
        <w:trPr>
          <w:trHeight w:val="18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cost (cost resulting from lease payments)</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5,793</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5,322</w:t>
            </w:r>
          </w:p>
        </w:tc>
      </w:tr>
      <w:tr>
        <w:trPr>
          <w:trHeight w:val="183"/>
        </w:trPr>
        <w:tc>
          <w:tcPr>
            <w:tcW w:w="7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Variable lease cost (cost excluded from lease payments)</w:t>
            </w:r>
          </w:p>
        </w:tc>
        <w:tc>
          <w:tcPr>
            <w:tcW w:w="1020" w:type="dxa"/>
            <w:vAlign w:val="bottom"/>
          </w:tcPr>
          <w:p>
            <w:pPr>
              <w:spacing w:after="0"/>
              <w:rPr>
                <w:sz w:val="15"/>
                <w:szCs w:val="15"/>
                <w:color w:val="auto"/>
              </w:rPr>
            </w:pPr>
          </w:p>
        </w:tc>
        <w:tc>
          <w:tcPr>
            <w:tcW w:w="70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582</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435</w:t>
            </w:r>
          </w:p>
        </w:tc>
      </w:tr>
      <w:tr>
        <w:trPr>
          <w:trHeight w:val="191"/>
        </w:trPr>
        <w:tc>
          <w:tcPr>
            <w:tcW w:w="7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Sublease income</w:t>
            </w:r>
          </w:p>
        </w:tc>
        <w:tc>
          <w:tcPr>
            <w:tcW w:w="10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(387)</w:t>
            </w: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(337)</w:t>
            </w:r>
          </w:p>
        </w:tc>
      </w:tr>
      <w:tr>
        <w:trPr>
          <w:trHeight w:val="182"/>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Net lease cost</w:t>
            </w:r>
          </w:p>
        </w:tc>
        <w:tc>
          <w:tcPr>
            <w:tcW w:w="102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5,988</w:t>
            </w: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5,420</w:t>
            </w:r>
          </w:p>
        </w:tc>
      </w:tr>
      <w:tr>
        <w:trPr>
          <w:trHeight w:val="18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paid for amounts included in the measurement of lease liabilities</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6,288</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5,468</w:t>
            </w:r>
          </w:p>
        </w:tc>
      </w:tr>
      <w:tr>
        <w:trPr>
          <w:trHeight w:val="183"/>
        </w:trPr>
        <w:tc>
          <w:tcPr>
            <w:tcW w:w="7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lease term - operating leases</w:t>
            </w:r>
          </w:p>
        </w:tc>
        <w:tc>
          <w:tcPr>
            <w:tcW w:w="1020" w:type="dxa"/>
            <w:vAlign w:val="bottom"/>
          </w:tcPr>
          <w:p>
            <w:pPr>
              <w:spacing w:after="0"/>
              <w:rPr>
                <w:sz w:val="15"/>
                <w:szCs w:val="15"/>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4.1 years</w:t>
            </w:r>
          </w:p>
        </w:tc>
        <w:tc>
          <w:tcPr>
            <w:tcW w:w="6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 years</w:t>
            </w: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discount rate - operating leases</w:t>
            </w: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r>
    </w:tbl>
    <w:p>
      <w:pPr>
        <w:spacing w:after="0" w:line="1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2025, the current and long term operating lease liabilities are $5.1 million and $16.5 million, respectively. Future payments of operating leases as of December 31, 2025 are listed in the table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3640" w:type="dxa"/>
            <w:vAlign w:val="bottom"/>
          </w:tcPr>
          <w:p>
            <w:pPr>
              <w:spacing w:after="0"/>
              <w:rPr>
                <w:sz w:val="15"/>
                <w:szCs w:val="15"/>
                <w:color w:val="auto"/>
              </w:rPr>
            </w:pPr>
          </w:p>
        </w:tc>
        <w:tc>
          <w:tcPr>
            <w:tcW w:w="1520" w:type="dxa"/>
            <w:vAlign w:val="bottom"/>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99"/>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2026</w:t>
            </w:r>
          </w:p>
        </w:tc>
        <w:tc>
          <w:tcPr>
            <w:tcW w:w="36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6,047</w:t>
            </w:r>
          </w:p>
        </w:tc>
      </w:tr>
      <w:tr>
        <w:trPr>
          <w:trHeight w:val="183"/>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2027</w:t>
            </w:r>
          </w:p>
        </w:tc>
        <w:tc>
          <w:tcPr>
            <w:tcW w:w="36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6,164</w:t>
            </w:r>
          </w:p>
        </w:tc>
      </w:tr>
      <w:tr>
        <w:trPr>
          <w:trHeight w:val="199"/>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2028</w:t>
            </w:r>
          </w:p>
        </w:tc>
        <w:tc>
          <w:tcPr>
            <w:tcW w:w="36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5,470</w:t>
            </w:r>
          </w:p>
        </w:tc>
      </w:tr>
      <w:tr>
        <w:trPr>
          <w:trHeight w:val="183"/>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2029</w:t>
            </w:r>
          </w:p>
        </w:tc>
        <w:tc>
          <w:tcPr>
            <w:tcW w:w="36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3,630</w:t>
            </w:r>
          </w:p>
        </w:tc>
      </w:tr>
      <w:tr>
        <w:trPr>
          <w:trHeight w:val="199"/>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2030</w:t>
            </w:r>
          </w:p>
        </w:tc>
        <w:tc>
          <w:tcPr>
            <w:tcW w:w="36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2,049</w:t>
            </w:r>
          </w:p>
        </w:tc>
      </w:tr>
      <w:tr>
        <w:trPr>
          <w:trHeight w:val="183"/>
        </w:trPr>
        <w:tc>
          <w:tcPr>
            <w:tcW w:w="6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Thereafter</w:t>
            </w:r>
          </w:p>
        </w:tc>
        <w:tc>
          <w:tcPr>
            <w:tcW w:w="36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856</w:t>
            </w:r>
          </w:p>
        </w:tc>
      </w:tr>
      <w:tr>
        <w:trPr>
          <w:trHeight w:val="18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future minimum lease payments</w:t>
            </w:r>
          </w:p>
        </w:tc>
        <w:tc>
          <w:tcPr>
            <w:tcW w:w="36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24,216</w:t>
            </w:r>
          </w:p>
        </w:tc>
      </w:tr>
      <w:tr>
        <w:trPr>
          <w:trHeight w:val="183"/>
        </w:trPr>
        <w:tc>
          <w:tcPr>
            <w:tcW w:w="6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Amount representing interest</w:t>
            </w:r>
          </w:p>
        </w:tc>
        <w:tc>
          <w:tcPr>
            <w:tcW w:w="36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(2,676)</w:t>
            </w:r>
          </w:p>
        </w:tc>
      </w:tr>
      <w:tr>
        <w:trPr>
          <w:trHeight w:val="182"/>
        </w:trPr>
        <w:tc>
          <w:tcPr>
            <w:tcW w:w="6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Present value of net future minimum lease payments</w:t>
            </w:r>
          </w:p>
        </w:tc>
        <w:tc>
          <w:tcPr>
            <w:tcW w:w="36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21,540</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NOTES PAYABLE</w:t>
      </w:r>
    </w:p>
    <w:p>
      <w:pPr>
        <w:spacing w:after="0" w:line="138"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4"/>
          <w:szCs w:val="14"/>
          <w:color w:val="auto"/>
        </w:rPr>
        <w:t>The Company has several term loans outstanding with a financial institution ("Term Loans"). The 2023 Facility 2 loan matures on March 31, 2029 with monthly principal payments of $0.2 million plus interest. The 2024 Term Loan A and 2024 Term Loan B (collectively the "2024 Term Loans") require monthly principal payments of $0.3 million plus interest until their maturity date of April 30, 2028. The 2025 Term Loan C requires monthly principal payments of $0.2 million per month plus interest through March 1, 2026, increasing to $0.3 million per month plus interest through the maturity date of March 31, 2029. The interest rate for all of these loans is the Secured Overnight Financing Rate ("SOFR") plus 2.60% per annum.</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total debt consists of the following as of:</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Original Loan Amount</w:t>
            </w:r>
          </w:p>
        </w:tc>
        <w:tc>
          <w:tcPr>
            <w:tcW w:w="300" w:type="dxa"/>
            <w:vAlign w:val="bottom"/>
          </w:tcPr>
          <w:p>
            <w:pPr>
              <w:spacing w:after="0"/>
              <w:rPr>
                <w:sz w:val="15"/>
                <w:szCs w:val="15"/>
                <w:color w:val="auto"/>
              </w:rPr>
            </w:pP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300" w:type="dxa"/>
            <w:vAlign w:val="bottom"/>
          </w:tcPr>
          <w:p>
            <w:pPr>
              <w:spacing w:after="0"/>
              <w:rPr>
                <w:sz w:val="15"/>
                <w:szCs w:val="15"/>
                <w:color w:val="auto"/>
              </w:rPr>
            </w:pPr>
          </w:p>
        </w:tc>
        <w:tc>
          <w:tcPr>
            <w:tcW w:w="174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rPr>
              <w:t>December 31, 2024</w:t>
            </w:r>
          </w:p>
        </w:tc>
      </w:tr>
      <w:tr>
        <w:trPr>
          <w:trHeight w:val="189"/>
        </w:trPr>
        <w:tc>
          <w:tcPr>
            <w:tcW w:w="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2"/>
              </w:rPr>
              <w:t>2023</w:t>
            </w:r>
          </w:p>
        </w:tc>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Facility 2</w:t>
            </w: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14,000</w:t>
            </w: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4,083</w:t>
            </w: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7,875</w:t>
            </w:r>
          </w:p>
        </w:tc>
      </w:tr>
      <w:tr>
        <w:trPr>
          <w:trHeight w:val="183"/>
        </w:trPr>
        <w:tc>
          <w:tcPr>
            <w:tcW w:w="28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2"/>
              </w:rPr>
              <w:t>2024</w:t>
            </w:r>
          </w:p>
        </w:tc>
        <w:tc>
          <w:tcPr>
            <w:tcW w:w="4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Term Loan A</w:t>
            </w:r>
          </w:p>
        </w:tc>
        <w:tc>
          <w:tcPr>
            <w:tcW w:w="3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4,950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5,850</w:t>
            </w:r>
          </w:p>
        </w:tc>
      </w:tr>
      <w:tr>
        <w:trPr>
          <w:trHeight w:val="199"/>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2"/>
              </w:rPr>
              <w:t>2024</w:t>
            </w:r>
          </w:p>
        </w:tc>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Term Loan B</w:t>
            </w: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15,675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18,525</w:t>
            </w:r>
          </w:p>
        </w:tc>
      </w:tr>
      <w:tr>
        <w:trPr>
          <w:trHeight w:val="18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2025 Term Loan C</w:t>
            </w:r>
          </w:p>
        </w:tc>
        <w:tc>
          <w:tcPr>
            <w:tcW w:w="3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22,407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debt</w:t>
            </w:r>
          </w:p>
        </w:tc>
        <w:tc>
          <w:tcPr>
            <w:tcW w:w="3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r>
      <w:tr>
        <w:trPr>
          <w:trHeight w:val="183"/>
        </w:trPr>
        <w:tc>
          <w:tcPr>
            <w:tcW w:w="5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Less: unamortized debt issuance costs</w:t>
            </w: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748</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w:t>
            </w:r>
          </w:p>
        </w:tc>
      </w:tr>
      <w:tr>
        <w:trPr>
          <w:trHeight w:val="189"/>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debt, net of unamortized issuance costs</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62,252</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46,988</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32,045</w:t>
            </w:r>
          </w:p>
        </w:tc>
      </w:tr>
      <w:tr>
        <w:trPr>
          <w:trHeight w:val="183"/>
        </w:trPr>
        <w:tc>
          <w:tcPr>
            <w:tcW w:w="5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Less: current portion</w:t>
            </w: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(9,082)</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(6,031)</w:t>
            </w:r>
          </w:p>
        </w:tc>
      </w:tr>
      <w:tr>
        <w:trPr>
          <w:trHeight w:val="182"/>
        </w:trPr>
        <w:tc>
          <w:tcPr>
            <w:tcW w:w="50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debt, long-term</w:t>
            </w:r>
          </w:p>
        </w:tc>
        <w:tc>
          <w:tcPr>
            <w:tcW w:w="3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37,906</w:t>
            </w:r>
          </w:p>
        </w:tc>
        <w:tc>
          <w:tcPr>
            <w:tcW w:w="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26,014</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the future principal maturities of the Terms Loans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2023 Facility 2</w:t>
            </w:r>
          </w:p>
        </w:tc>
        <w:tc>
          <w:tcPr>
            <w:tcW w:w="14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2024 Term Loan A</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2024 Term Loan B</w:t>
            </w:r>
          </w:p>
        </w:tc>
        <w:tc>
          <w:tcPr>
            <w:tcW w:w="14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2025 Term Loan C</w:t>
            </w:r>
          </w:p>
        </w:tc>
        <w:tc>
          <w:tcPr>
            <w:tcW w:w="340" w:type="dxa"/>
            <w:vAlign w:val="bottom"/>
          </w:tcPr>
          <w:p>
            <w:pPr>
              <w:spacing w:after="0"/>
              <w:rPr>
                <w:sz w:val="16"/>
                <w:szCs w:val="16"/>
                <w:color w:val="auto"/>
              </w:rPr>
            </w:pPr>
          </w:p>
        </w:tc>
        <w:tc>
          <w:tcPr>
            <w:tcW w:w="116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3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9,148</w:t>
            </w:r>
          </w:p>
        </w:tc>
      </w:tr>
      <w:tr>
        <w:trPr>
          <w:trHeight w:val="19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9,333</w:t>
            </w:r>
          </w:p>
        </w:tc>
      </w:tr>
      <w:tr>
        <w:trPr>
          <w:trHeight w:val="22"/>
        </w:trPr>
        <w:tc>
          <w:tcPr>
            <w:tcW w:w="3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16,725</w:t>
            </w:r>
          </w:p>
        </w:tc>
      </w:tr>
      <w:tr>
        <w:trPr>
          <w:trHeight w:val="19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11,909</w:t>
            </w:r>
          </w:p>
        </w:tc>
      </w:tr>
      <w:tr>
        <w:trPr>
          <w:trHeight w:val="22"/>
        </w:trPr>
        <w:tc>
          <w:tcPr>
            <w:tcW w:w="3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4,083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4,950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15,675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22,407</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47,115</w:t>
            </w:r>
          </w:p>
        </w:tc>
      </w:tr>
      <w:tr>
        <w:trPr>
          <w:trHeight w:val="20"/>
        </w:trPr>
        <w:tc>
          <w:tcPr>
            <w:tcW w:w="3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approximate interest expense incurred for the Term Loans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20" w:type="dxa"/>
            <w:vAlign w:val="bottom"/>
            <w:tcBorders>
              <w:bottom w:val="single" w:sz="8" w:color="auto"/>
            </w:tcBorders>
          </w:tcPr>
          <w:p>
            <w:pPr>
              <w:spacing w:after="0"/>
              <w:rPr>
                <w:sz w:val="15"/>
                <w:szCs w:val="15"/>
                <w:color w:val="auto"/>
              </w:rPr>
            </w:pPr>
          </w:p>
        </w:tc>
      </w:tr>
      <w:tr>
        <w:trPr>
          <w:trHeight w:val="182"/>
        </w:trPr>
        <w:tc>
          <w:tcPr>
            <w:tcW w:w="80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color w:val="auto"/>
                <w:w w:val="92"/>
              </w:rPr>
              <w:t>2024</w:t>
            </w:r>
          </w:p>
        </w:tc>
      </w:tr>
      <w:tr>
        <w:trPr>
          <w:trHeight w:val="189"/>
        </w:trPr>
        <w:tc>
          <w:tcPr>
            <w:tcW w:w="8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Cash interest on term loans</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3,147</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1,693</w:t>
            </w:r>
          </w:p>
        </w:tc>
      </w:tr>
      <w:tr>
        <w:trPr>
          <w:trHeight w:val="183"/>
        </w:trPr>
        <w:tc>
          <w:tcPr>
            <w:tcW w:w="8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Cash interest on other debt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91"/>
        </w:trPr>
        <w:tc>
          <w:tcPr>
            <w:tcW w:w="80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Debt discount amortization</w:t>
            </w: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236</w:t>
            </w: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r>
      <w:tr>
        <w:trPr>
          <w:trHeight w:val="182"/>
        </w:trPr>
        <w:tc>
          <w:tcPr>
            <w:tcW w:w="8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Total interest expense</w:t>
            </w: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3,402</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1,900</w:t>
            </w:r>
          </w:p>
        </w:tc>
      </w:tr>
    </w:tbl>
    <w:p>
      <w:pPr>
        <w:spacing w:after="0" w:line="176"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4"/>
          <w:szCs w:val="14"/>
          <w:color w:val="auto"/>
        </w:rPr>
        <w:t>The Credit Agreement and Amended Credit Agreements for the Term Loans contain certain non-financial and financial covenants that the Company is required to comply with and submit a compliance certificate to the bank on a quarterly basis. The financial covenants include a total leverage ratio and fixed coverage ratio. The Company was in compliance with all covenants as of December 31, 2025 and December 31,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SHARE-BASED ACCOUNTING CHARGE</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On December 16, 2021, PPHC-Inc. completed its initial public offering ("UK IPO") and its shares began trading on the AIM market of the London Stock Exchange. During 2021, all ultimate owners of PPHC-LLC, referred to as Company Executives, entered into Executive Employment Agreements. These executives sold some of their shares during the UK IPO (referred to as Liquidated Pre-UK IPO Shares) but retained the majority of their shares ("Retained Pre-UK IPO Shares"). The retained shares vest in equal installments over five years, provided the executive remains continuously employed. If an executive's employment terminates, except in cases of death, disability, termination without cause, or for good reason, the unvested shares will be forfeited. In cases of death, disability, termination without cause, or for good reason, all unvested shares will vest immediately. Additionally, the agreements include clawback provisions, allowing the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to reclaim cash from the sale of Liquidated Pre-UK IPO Shares and vested Retained Pre-UK IPO Shares under certain conditions.</w:t>
      </w:r>
    </w:p>
    <w:p>
      <w:pPr>
        <w:spacing w:after="0" w:line="136"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As a result of the vesting conditions for the Retained Pre-UK IPO Shares, the Company is recording share-based accounting charges over the five years 2022-2026. It recorded $29.6 million and $31.8 million for the years ended December 31, 2025 and 2024, respectively.</w:t>
      </w:r>
    </w:p>
    <w:p>
      <w:pPr>
        <w:spacing w:after="0" w:line="8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As of December 31, 2025, there were 14,181,439 Retained Pre-UK IPO Shares held by current employees and subject to vesting requirements, and 11,216,338 of these shares were fully vested. These shares were issued in 2021 and the weighted-average grant date fair value of these shares was $9.10 as of the grant date. For the Retained Pre-UK IPO shares, the grant-date fair value is based upon the market price of the Company's common stock on the date of the grant. As of December 31, 2025, the unrecognized compensation cost from these restricted shares was approximately $28.3 million, which is expected to be recognized over a weighted-average period of 1.0 years.</w:t>
      </w:r>
    </w:p>
    <w:p>
      <w:pPr>
        <w:spacing w:after="0" w:line="98"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The share-based accounting charge relating to the Retained Pre-UK IPO Shares is recorded to costs of services and general and administrative expense in the consolidated statement of operations. The table below represents the total expense relating to Retained Pre-UK IPO Shares recognized in the consolidated statements of operations and comprehensive loss for the years ended December 31, 2025 and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1000" w:type="dxa"/>
            <w:vAlign w:val="bottom"/>
            <w:tcBorders>
              <w:bottom w:val="single" w:sz="8" w:color="auto"/>
            </w:tcBorders>
          </w:tcPr>
          <w:p>
            <w:pPr>
              <w:spacing w:after="0"/>
              <w:rPr>
                <w:sz w:val="15"/>
                <w:szCs w:val="15"/>
                <w:color w:val="auto"/>
              </w:rPr>
            </w:pPr>
          </w:p>
        </w:tc>
      </w:tr>
      <w:tr>
        <w:trPr>
          <w:trHeight w:val="182"/>
        </w:trPr>
        <w:tc>
          <w:tcPr>
            <w:tcW w:w="77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color w:val="auto"/>
                <w:w w:val="99"/>
              </w:rPr>
              <w:t>2024</w:t>
            </w:r>
          </w:p>
        </w:tc>
      </w:tr>
      <w:tr>
        <w:trPr>
          <w:trHeight w:val="18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services</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26,664</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26,636</w:t>
            </w:r>
          </w:p>
        </w:tc>
      </w:tr>
      <w:tr>
        <w:trPr>
          <w:trHeight w:val="183"/>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10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2,962</w:t>
            </w: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5,168</w:t>
            </w:r>
          </w:p>
        </w:tc>
      </w:tr>
      <w:tr>
        <w:trPr>
          <w:trHeight w:val="182"/>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expense relating to Retained Pre-UK IPO Shares</w:t>
            </w: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29,626</w:t>
            </w: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31,804</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POST-COMBINATION COMPENSATION CHARGE</w:t>
      </w:r>
    </w:p>
    <w:p>
      <w:pPr>
        <w:spacing w:after="0" w:line="13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Company has acquired various companies from 2022 to 2025 for a combination of cash, shares of Company Common Stock and future contingent payments ("Acquisition Payments"). A portion of the Acquisition Payments are subject to vesting and/or claw back provisions that are directly linked to the continuing employment of certain individuals of the acquired companies ("Post-Combination Payments"). As a result, the Post-Combination Payments are being recognized as a charge for post-combination compensation over the period of the applicable vesting requirement or the period over which the claw back rights linked to employment lapse.</w:t>
      </w:r>
    </w:p>
    <w:p>
      <w:pPr>
        <w:spacing w:after="0" w:line="96" w:lineRule="exact"/>
        <w:rPr>
          <w:sz w:val="20"/>
          <w:szCs w:val="20"/>
          <w:color w:val="auto"/>
        </w:rPr>
      </w:pPr>
    </w:p>
    <w:p>
      <w:pPr>
        <w:jc w:val="both"/>
        <w:ind w:right="440"/>
        <w:spacing w:after="0" w:line="271" w:lineRule="auto"/>
        <w:rPr>
          <w:sz w:val="20"/>
          <w:szCs w:val="20"/>
          <w:color w:val="auto"/>
        </w:rPr>
      </w:pPr>
      <w:r>
        <w:rPr>
          <w:rFonts w:ascii="Times New Roman" w:cs="Times New Roman" w:eastAsia="Times New Roman" w:hAnsi="Times New Roman"/>
          <w:sz w:val="14"/>
          <w:szCs w:val="14"/>
          <w:color w:val="auto"/>
        </w:rPr>
        <w:t xml:space="preserve">The Company analyzes post-combination obligations under the guidance of ASC Topic 480 </w:t>
      </w:r>
      <w:r>
        <w:rPr>
          <w:rFonts w:ascii="Times New Roman" w:cs="Times New Roman" w:eastAsia="Times New Roman" w:hAnsi="Times New Roman"/>
          <w:sz w:val="14"/>
          <w:szCs w:val="14"/>
          <w:i w:val="1"/>
          <w:iCs w:val="1"/>
          <w:color w:val="auto"/>
        </w:rPr>
        <w:t>Distinguishing liabilities from equity</w:t>
      </w:r>
      <w:r>
        <w:rPr>
          <w:rFonts w:ascii="Times New Roman" w:cs="Times New Roman" w:eastAsia="Times New Roman" w:hAnsi="Times New Roman"/>
          <w:sz w:val="14"/>
          <w:szCs w:val="14"/>
          <w:color w:val="auto"/>
        </w:rPr>
        <w:t xml:space="preserve"> to determine if share-based instruments should be recorded as liabilities or within equity. Post-combination obligations of the Company that meet the criteria for liability classification are recorded to other liability in the consolidated balance sheets of the Company. Furthermore, the Company applies the guidance of ASC Topic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xml:space="preserve"> to determine if liability instruments meet the criteria for derivative accounting.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post-combination compensation charge recorded by the Company was $21.3 million for the year ended December 31, 2025 as compared to $11.6 million for the year ended December 31, 2024.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post-combination compensation charge is recorded in cost of services in the consolidated statements of operations and comprehensive loss. This amount consists of the following components: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1000" w:type="dxa"/>
            <w:vAlign w:val="bottom"/>
            <w:tcBorders>
              <w:bottom w:val="single" w:sz="8" w:color="auto"/>
            </w:tcBorders>
          </w:tcPr>
          <w:p>
            <w:pPr>
              <w:spacing w:after="0"/>
              <w:rPr>
                <w:sz w:val="15"/>
                <w:szCs w:val="15"/>
                <w:color w:val="auto"/>
              </w:rPr>
            </w:pPr>
          </w:p>
        </w:tc>
      </w:tr>
      <w:tr>
        <w:trPr>
          <w:trHeight w:val="182"/>
        </w:trPr>
        <w:tc>
          <w:tcPr>
            <w:tcW w:w="78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color w:val="auto"/>
                <w:w w:val="99"/>
              </w:rPr>
              <w:t>2024</w:t>
            </w:r>
          </w:p>
        </w:tc>
      </w:tr>
      <w:tr>
        <w:trPr>
          <w:trHeight w:val="18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Additions to other liability</w:t>
            </w: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7,514</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4,028</w:t>
            </w:r>
          </w:p>
        </w:tc>
      </w:tr>
      <w:tr>
        <w:trPr>
          <w:trHeight w:val="183"/>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common stock</w:t>
            </w:r>
          </w:p>
        </w:tc>
        <w:tc>
          <w:tcPr>
            <w:tcW w:w="10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3,074</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2,509</w:t>
            </w:r>
          </w:p>
        </w:tc>
      </w:tr>
      <w:tr>
        <w:trPr>
          <w:trHeight w:val="19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prepaid post-combination compensation</w:t>
            </w:r>
          </w:p>
        </w:tc>
        <w:tc>
          <w:tcPr>
            <w:tcW w:w="10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8,987</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5,062</w:t>
            </w:r>
          </w:p>
        </w:tc>
      </w:tr>
      <w:tr>
        <w:trPr>
          <w:trHeight w:val="183"/>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Other adjustment</w:t>
            </w:r>
          </w:p>
        </w:tc>
        <w:tc>
          <w:tcPr>
            <w:tcW w:w="10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1,696</w:t>
            </w: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2"/>
        </w:trPr>
        <w:tc>
          <w:tcPr>
            <w:tcW w:w="7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21,271</w:t>
            </w: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11,599</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the unrecognized post-combination compensation charge was approximately $44.6 million, which is expected to be recognized over a weighted-average period of 2.5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actual amount of Post-Combination Payments is subject to significant estimates and could change materially in the future.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The Company's potential future payments from its acquisitions exceed the liabilities recorded on the Company's consolidated balance sheets as the Company’s potential future payments include components of post-combination compensation and contingent consideration. Contingent consideration is recorded as a liability on the consolidated balance sheets at its estimated fair value. The fair value calculation of the contingent consideration includes certain discount rates and other factors that impact the value of these liabilities (see Note 15). The calculated fair value is based on the total payments that the Company expects to pay in the future rather than the total maximum payments that it could be required to pay. Other liability consists of certain future payments that the Company could be required to make if various operating targets are achieved from acquisitions. The Company records post-combination expense over the vesting or claw-back period applicable for these future payments on a straight-line basis with the amount accrued recorded as other liability. The future earn-out payments that have vesting or claw-back rights tied to employment will reduce the amount of the other liability when paid.</w:t>
      </w:r>
    </w:p>
    <w:p>
      <w:pPr>
        <w:spacing w:after="0" w:line="104"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table below highlights the other liability and contingent consideration recorded on the Company's consolidated balance sheets (as discounted) compared to the undiscounted estimated payout and the maximum payout of cash and stock that could occur if all future contingent earn-out provisions from the acquisitions were achieved as of December 31,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Liabilities recorded on balance sheet, December 31, 2025:</w:t>
            </w: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3"/>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liability, current</w:t>
            </w: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1,441</w:t>
            </w:r>
          </w:p>
        </w:tc>
      </w:tr>
      <w:tr>
        <w:trPr>
          <w:trHeight w:val="19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liability, long term</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10,553</w:t>
            </w:r>
          </w:p>
        </w:tc>
      </w:tr>
      <w:tr>
        <w:trPr>
          <w:trHeight w:val="183"/>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Contingent consideration, current</w:t>
            </w: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3,134</w:t>
            </w:r>
          </w:p>
        </w:tc>
      </w:tr>
      <w:tr>
        <w:trPr>
          <w:trHeight w:val="191"/>
        </w:trPr>
        <w:tc>
          <w:tcPr>
            <w:tcW w:w="7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Contingent consideration, long term</w:t>
            </w:r>
          </w:p>
        </w:tc>
        <w:tc>
          <w:tcPr>
            <w:tcW w:w="3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9,864</w:t>
            </w:r>
          </w:p>
        </w:tc>
      </w:tr>
      <w:tr>
        <w:trPr>
          <w:trHeight w:val="189"/>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recorded on balance sheet, December 31, 2025</w:t>
            </w:r>
            <w:r>
              <w:rPr>
                <w:rFonts w:ascii="Times New Roman" w:cs="Times New Roman" w:eastAsia="Times New Roman" w:hAnsi="Times New Roman"/>
                <w:sz w:val="16"/>
                <w:szCs w:val="16"/>
                <w:b w:val="1"/>
                <w:bCs w:val="1"/>
                <w:color w:val="auto"/>
                <w:vertAlign w:val="superscript"/>
              </w:rPr>
              <w:t>(1)</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24,992</w:t>
            </w:r>
          </w:p>
        </w:tc>
      </w:tr>
      <w:tr>
        <w:trPr>
          <w:trHeight w:val="192"/>
        </w:trPr>
        <w:tc>
          <w:tcPr>
            <w:tcW w:w="7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Undiscounted potential future payments</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9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Potential cash future payments:</w:t>
            </w:r>
          </w:p>
        </w:tc>
        <w:tc>
          <w:tcPr>
            <w:tcW w:w="3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Estimated</w:t>
            </w:r>
            <w:r>
              <w:rPr>
                <w:rFonts w:ascii="Times New Roman" w:cs="Times New Roman" w:eastAsia="Times New Roman" w:hAnsi="Times New Roman"/>
                <w:sz w:val="16"/>
                <w:szCs w:val="16"/>
                <w:b w:val="1"/>
                <w:bCs w:val="1"/>
                <w:color w:val="auto"/>
                <w:vertAlign w:val="superscript"/>
              </w:rPr>
              <w:t>(3)</w:t>
            </w:r>
          </w:p>
        </w:tc>
        <w:tc>
          <w:tcPr>
            <w:tcW w:w="3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Maximum</w:t>
            </w:r>
            <w:r>
              <w:rPr>
                <w:rFonts w:ascii="Times New Roman" w:cs="Times New Roman" w:eastAsia="Times New Roman" w:hAnsi="Times New Roman"/>
                <w:sz w:val="16"/>
                <w:szCs w:val="16"/>
                <w:b w:val="1"/>
                <w:bCs w:val="1"/>
                <w:color w:val="auto"/>
                <w:vertAlign w:val="superscript"/>
              </w:rPr>
              <w:t>(4)</w:t>
            </w:r>
          </w:p>
        </w:tc>
      </w:tr>
      <w:tr>
        <w:trPr>
          <w:trHeight w:val="174"/>
        </w:trPr>
        <w:tc>
          <w:tcPr>
            <w:tcW w:w="7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2026</w:t>
            </w:r>
          </w:p>
        </w:tc>
        <w:tc>
          <w:tcPr>
            <w:tcW w:w="3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12,013</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17,516</w:t>
            </w:r>
          </w:p>
        </w:tc>
      </w:tr>
      <w:tr>
        <w:trPr>
          <w:trHeight w:val="199"/>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2027</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15,446</w:t>
            </w:r>
          </w:p>
        </w:tc>
      </w:tr>
      <w:tr>
        <w:trPr>
          <w:trHeight w:val="183"/>
        </w:trPr>
        <w:tc>
          <w:tcPr>
            <w:tcW w:w="7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2028</w:t>
            </w: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22,750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22,750</w:t>
            </w:r>
          </w:p>
        </w:tc>
      </w:tr>
      <w:tr>
        <w:trPr>
          <w:trHeight w:val="199"/>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2029</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18,014</w:t>
            </w:r>
          </w:p>
        </w:tc>
      </w:tr>
      <w:tr>
        <w:trPr>
          <w:trHeight w:val="183"/>
        </w:trPr>
        <w:tc>
          <w:tcPr>
            <w:tcW w:w="7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2030</w:t>
            </w: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3,928</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10,000</w:t>
            </w:r>
          </w:p>
        </w:tc>
      </w:tr>
      <w:tr>
        <w:trPr>
          <w:trHeight w:val="182"/>
        </w:trPr>
        <w:tc>
          <w:tcPr>
            <w:tcW w:w="7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potential cash future payments</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44,633</w:t>
            </w:r>
          </w:p>
        </w:tc>
        <w:tc>
          <w:tcPr>
            <w:tcW w:w="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83,726</w:t>
            </w:r>
          </w:p>
        </w:tc>
      </w:tr>
      <w:tr>
        <w:trPr>
          <w:trHeight w:val="189"/>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Potential stock future payments </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91"/>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2026</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4,600</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7,517</w:t>
            </w:r>
          </w:p>
        </w:tc>
      </w:tr>
      <w:tr>
        <w:trPr>
          <w:trHeight w:val="183"/>
        </w:trPr>
        <w:tc>
          <w:tcPr>
            <w:tcW w:w="7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2027</w:t>
            </w: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6,907</w:t>
            </w:r>
          </w:p>
        </w:tc>
      </w:tr>
      <w:tr>
        <w:trPr>
          <w:trHeight w:val="199"/>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2028</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22,750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22,750</w:t>
            </w:r>
          </w:p>
        </w:tc>
      </w:tr>
      <w:tr>
        <w:trPr>
          <w:trHeight w:val="183"/>
        </w:trPr>
        <w:tc>
          <w:tcPr>
            <w:tcW w:w="7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2029</w:t>
            </w: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11,010</w:t>
            </w:r>
          </w:p>
        </w:tc>
      </w:tr>
      <w:tr>
        <w:trPr>
          <w:trHeight w:val="191"/>
        </w:trPr>
        <w:tc>
          <w:tcPr>
            <w:tcW w:w="78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2030</w:t>
            </w:r>
          </w:p>
        </w:tc>
        <w:tc>
          <w:tcPr>
            <w:tcW w:w="3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3,928</w:t>
            </w:r>
          </w:p>
        </w:tc>
        <w:tc>
          <w:tcPr>
            <w:tcW w:w="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r>
      <w:tr>
        <w:trPr>
          <w:trHeight w:val="189"/>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potential stock future payments</w:t>
            </w:r>
            <w:r>
              <w:rPr>
                <w:rFonts w:ascii="Times New Roman" w:cs="Times New Roman" w:eastAsia="Times New Roman" w:hAnsi="Times New Roman"/>
                <w:sz w:val="16"/>
                <w:szCs w:val="16"/>
                <w:color w:val="auto"/>
                <w:vertAlign w:val="superscript"/>
              </w:rPr>
              <w:t>(5)</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33,714</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58,184</w:t>
            </w:r>
          </w:p>
        </w:tc>
      </w:tr>
      <w:tr>
        <w:trPr>
          <w:trHeight w:val="192"/>
        </w:trPr>
        <w:tc>
          <w:tcPr>
            <w:tcW w:w="78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r>
      <w:tr>
        <w:trPr>
          <w:trHeight w:val="174"/>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potential future payments</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78,347</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82"/>
        </w:trPr>
        <w:tc>
          <w:tcPr>
            <w:tcW w:w="7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liabilities recorded on balance sheet, December 31, 2025</w:t>
            </w:r>
          </w:p>
        </w:tc>
        <w:tc>
          <w:tcPr>
            <w:tcW w:w="3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24,992</w:t>
            </w:r>
          </w:p>
        </w:tc>
        <w:tc>
          <w:tcPr>
            <w:tcW w:w="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r>
      <w:tr>
        <w:trPr>
          <w:trHeight w:val="182"/>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difference between future payments and reported liabilities</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53,355</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8" w:lineRule="exact"/>
        <w:rPr>
          <w:sz w:val="20"/>
          <w:szCs w:val="20"/>
          <w:color w:val="auto"/>
        </w:rPr>
      </w:pPr>
    </w:p>
    <w:p>
      <w:pPr>
        <w:ind w:left="260" w:hanging="255"/>
        <w:spacing w:after="0"/>
        <w:tabs>
          <w:tab w:leader="none" w:pos="26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 fair value</w:t>
      </w:r>
    </w:p>
    <w:p>
      <w:pPr>
        <w:spacing w:after="0" w:line="8"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estimate for future Pagefield payments based on December 12, 2025 exchange rate of GBP to USD</w:t>
      </w:r>
    </w:p>
    <w:p>
      <w:pPr>
        <w:spacing w:after="0" w:line="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Management's estimate as of December 2025 of the future payments of cash and stock for earn-out payments</w:t>
      </w:r>
    </w:p>
    <w:p>
      <w:pPr>
        <w:spacing w:after="0" w:line="8"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maximum amount of future payments of cash and stock for earn-out payments</w:t>
      </w:r>
    </w:p>
    <w:p>
      <w:pPr>
        <w:spacing w:after="0" w:line="11" w:lineRule="exact"/>
        <w:rPr>
          <w:rFonts w:ascii="Times New Roman" w:cs="Times New Roman" w:eastAsia="Times New Roman" w:hAnsi="Times New Roman"/>
          <w:sz w:val="11"/>
          <w:szCs w:val="11"/>
          <w:color w:val="auto"/>
        </w:rPr>
      </w:pPr>
    </w:p>
    <w:p>
      <w:pPr>
        <w:ind w:right="40" w:firstLine="5"/>
        <w:spacing w:after="0" w:line="272" w:lineRule="auto"/>
        <w:tabs>
          <w:tab w:leader="none" w:pos="249"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monetary value of potential future payments are subject to the operating performance of the acquired business over the contractual earnout period and are not subject to changes in the fair value of the Company’s common shares. The number of shares that could be required to be issued under the estimated and maximum payment scenarios above depend on the fair value of the Company’s common shares. Based on the fair value of the Company’s common shares at December 31, 2025, the maximum potential future stock payment would be 3,899,371 shares.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RELATED PARTY TRANSACTIONS</w:t>
      </w:r>
    </w:p>
    <w:p>
      <w:pPr>
        <w:spacing w:after="0" w:line="138" w:lineRule="exact"/>
        <w:rPr>
          <w:sz w:val="20"/>
          <w:szCs w:val="20"/>
          <w:color w:val="auto"/>
        </w:rPr>
      </w:pPr>
    </w:p>
    <w:p>
      <w:pPr>
        <w:ind w:right="660"/>
        <w:spacing w:after="0" w:line="287" w:lineRule="auto"/>
        <w:rPr>
          <w:sz w:val="20"/>
          <w:szCs w:val="20"/>
          <w:color w:val="auto"/>
        </w:rPr>
      </w:pPr>
      <w:r>
        <w:rPr>
          <w:rFonts w:ascii="Times New Roman" w:cs="Times New Roman" w:eastAsia="Times New Roman" w:hAnsi="Times New Roman"/>
          <w:sz w:val="14"/>
          <w:szCs w:val="14"/>
          <w:color w:val="auto"/>
        </w:rPr>
        <w:t>As of December 31, 2025, the amounts due from related parties of approximately $0.3 million consists primarily of a receivable due from the sellers of TrailRunner. During the year ended December 31, 2025, the working capital loan with the sellers of TrailRunner was settled.</w:t>
      </w:r>
    </w:p>
    <w:p>
      <w:pPr>
        <w:spacing w:after="0" w:line="82"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4"/>
          <w:szCs w:val="14"/>
          <w:color w:val="auto"/>
        </w:rPr>
        <w:t>As of December 31, 2024, the amounts due from related parties of approximately $0.6 million include the amount related to a working capital loan and adjustments associated with the LPA acquisition. During the year ended December 31, 2025, the working capital loan and adjustments with LPA was settled.</w:t>
      </w:r>
    </w:p>
    <w:p>
      <w:pPr>
        <w:spacing w:after="0" w:line="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During December 2021, the Company entered into a term note agreement ("2021 Note") with The Alpine Group, Inc. ("Alpine Inc"). The 2021 Note provided Alpine Inc with the ability to request a one-time borrowing of up to $0.8 million from the Company at any time prior to December 31, 2022. The purpose of the 2021 Note was to provide Alpine Inc with funds to cover certain federal and state income taxes to be owed by Alpine Inc in connection with the sale of shares of the Company's common stock in the UK IPO. During April 2022, the Company advanced $0.5 million to Alpine Inc in accordance with the terms of the 2021 Note. The interest rate on the 2021 Note is equal to the Prime Rate as published in the Wall Street Journal. The amount of accrued interest and interest revenue from the 2021 Note is not material. The 2021 Note requires an annual payment of accrued and unpaid interest on the last business day of December each year and through the maturity date of January 16, 2025. During February 2025, the 2021 Note plus accrued interest totaling approximately $0.5 million was repaid through the transfer of 63,356 shares of PPHC-Inc common stock from Alpine Inc to the Company, which shares have been retired.</w:t>
      </w:r>
    </w:p>
    <w:p>
      <w:pPr>
        <w:spacing w:after="0" w:line="10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4"/>
          <w:szCs w:val="14"/>
          <w:color w:val="auto"/>
        </w:rPr>
        <w:t>During November 2023, the Company entered into term note agreements ("2023 Notes") with certain employees of the Alpine Group Partners, LLC totaling $1.8 million. The interest rate on the 2023 Notes was 7.5% and was subsequently reduced in 2024 to 4.45%. The notes are payable in annual installments of $0.4 million plus all accrued and unpaid interest beginning on November 1, 2024 with a maturity date of November 1, 2028 or the effective date of the termination of employment of the respective employee borrower for any reason, if earlier than the maturity date. As of December 31, 2025 and 2024, the 2023 Notes were recorded in notes receivable - related parties with $0.7 million and $0.4 million classified as a current asset and $0.5 million and $1.1 million, respectively, classified as a non-current asset. The amount of accrued interest and interest revenue from the 2023 Notes is not material.</w:t>
      </w:r>
    </w:p>
    <w:p>
      <w:pPr>
        <w:spacing w:after="0" w:line="101"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On August 1, 2025, the Company issued a loan to employees in the amount of $0.5 million. The interest rate on the loan is 4.06%. The employee loan has a maturity date of August 1, 2030. As of December 31, 2025, $0.1 million is classified in notes receivable - related parties, current portion and $0.4 million the employee loan was recorded in notes receivable - related parties, long term.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O</w:t>
      </w:r>
      <w:r>
        <w:rPr>
          <w:rFonts w:ascii="Times New Roman" w:cs="Times New Roman" w:eastAsia="Times New Roman" w:hAnsi="Times New Roman"/>
          <w:sz w:val="11"/>
          <w:szCs w:val="11"/>
          <w:b w:val="1"/>
          <w:bCs w:val="1"/>
          <w:color w:val="auto"/>
        </w:rPr>
        <w:t>MNIBUS</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NCENTIVE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LAN</w:t>
      </w:r>
    </w:p>
    <w:p>
      <w:pPr>
        <w:spacing w:after="0" w:line="1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In 2021, we adopted the Public Policy Holding Company, Inc. 2021 Omnibus Incentive Plan (the "Omnibus Incentive Plan"), under which Options (both nonqualified options, and incentive stock options), stock appreciation rights, restricted stock units, restricted stock, unrestricted stock, cash-based awards and dividend equivalent rights may be issued. An award may not be granted if the number of common shares committed to be issued under that award exceeds fifteen percent of the ordinary shares of the Company in issue immediately before that day, when added to the number of common shares which have been issued, or committed to be issued, to satisfy awards under the Omnibus Incentive Plan, or options or awards under any other employee share plan operated by the Company, granted in the five previous years.</w:t>
      </w:r>
    </w:p>
    <w:p>
      <w:pPr>
        <w:spacing w:after="0" w:line="10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As of December 31, 2025, the total amount of shares authorized by the Board of Directors under the Omnibus Plan was 3,776,164. During the years ended December 31, 2025 and 2024, the Company granted 62,588 and 85,000 Options to employees. In addition, during the year ended December 31, 2025, the Company granted 498,532 Restricted Stock Units ("RSUs") and 195,593 Restricted Stock Awards ("RSAs"). During the year ended December 31, 2024, the Company granted 586,000 RSUs and 140,748 RSAs. The stock options have a contractual term of ten years and vest three years after their issuance. The RSUs vest over a three-year period with one-third vesting each year after the grant date. The amortization of the fair value of share-based awards is recorded as an expense in long-term incentive program charges in the statement of operations.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total long-term incentive program expense, net of forfeitures, is detailed in the following table: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1040" w:type="dxa"/>
            <w:vAlign w:val="bottom"/>
            <w:tcBorders>
              <w:bottom w:val="single" w:sz="8" w:color="auto"/>
            </w:tcBorders>
          </w:tcPr>
          <w:p>
            <w:pPr>
              <w:spacing w:after="0"/>
              <w:rPr>
                <w:sz w:val="14"/>
                <w:szCs w:val="14"/>
                <w:color w:val="auto"/>
              </w:rPr>
            </w:pPr>
          </w:p>
        </w:tc>
      </w:tr>
      <w:tr>
        <w:trPr>
          <w:trHeight w:val="161"/>
        </w:trPr>
        <w:tc>
          <w:tcPr>
            <w:tcW w:w="76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color w:val="auto"/>
                <w:w w:val="99"/>
              </w:rPr>
              <w:t>2024</w:t>
            </w:r>
          </w:p>
        </w:tc>
      </w:tr>
      <w:tr>
        <w:trPr>
          <w:trHeight w:val="16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Options</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269</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w:t>
            </w:r>
          </w:p>
        </w:tc>
      </w:tr>
      <w:tr>
        <w:trPr>
          <w:trHeight w:val="169"/>
        </w:trPr>
        <w:tc>
          <w:tcPr>
            <w:tcW w:w="7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RSUs</w:t>
            </w:r>
          </w:p>
        </w:tc>
        <w:tc>
          <w:tcPr>
            <w:tcW w:w="10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3,127</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1,974</w:t>
            </w:r>
          </w:p>
        </w:tc>
      </w:tr>
      <w:tr>
        <w:trPr>
          <w:trHeight w:val="17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RSAs</w:t>
            </w:r>
          </w:p>
        </w:tc>
        <w:tc>
          <w:tcPr>
            <w:tcW w:w="10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2,394</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w:t>
            </w:r>
          </w:p>
        </w:tc>
      </w:tr>
      <w:tr>
        <w:trPr>
          <w:trHeight w:val="169"/>
        </w:trPr>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SARs</w:t>
            </w:r>
          </w:p>
        </w:tc>
        <w:tc>
          <w:tcPr>
            <w:tcW w:w="10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1,296</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378</w:t>
            </w:r>
          </w:p>
        </w:tc>
      </w:tr>
      <w:tr>
        <w:trPr>
          <w:trHeight w:val="160"/>
        </w:trPr>
        <w:tc>
          <w:tcPr>
            <w:tcW w:w="7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4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7,086</w:t>
            </w: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4,162</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represents the total expense relating to the long-term incentive program recognized in the consolidated statements of operations and comprehensive loss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1040" w:type="dxa"/>
            <w:vAlign w:val="bottom"/>
            <w:tcBorders>
              <w:bottom w:val="single" w:sz="8" w:color="auto"/>
            </w:tcBorders>
          </w:tcPr>
          <w:p>
            <w:pPr>
              <w:spacing w:after="0"/>
              <w:rPr>
                <w:sz w:val="14"/>
                <w:szCs w:val="14"/>
                <w:color w:val="auto"/>
              </w:rPr>
            </w:pPr>
          </w:p>
        </w:tc>
      </w:tr>
      <w:tr>
        <w:trPr>
          <w:trHeight w:val="161"/>
        </w:trPr>
        <w:tc>
          <w:tcPr>
            <w:tcW w:w="77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3"/>
                <w:szCs w:val="13"/>
                <w:color w:val="auto"/>
              </w:rPr>
              <w:t>2024</w:t>
            </w:r>
          </w:p>
        </w:tc>
      </w:tr>
      <w:tr>
        <w:trPr>
          <w:trHeight w:val="162"/>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services</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6,039</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3,328</w:t>
            </w:r>
          </w:p>
        </w:tc>
      </w:tr>
      <w:tr>
        <w:trPr>
          <w:trHeight w:val="169"/>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10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1,047</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834</w:t>
            </w:r>
          </w:p>
        </w:tc>
      </w:tr>
      <w:tr>
        <w:trPr>
          <w:trHeight w:val="160"/>
        </w:trPr>
        <w:tc>
          <w:tcPr>
            <w:tcW w:w="7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4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7,086</w:t>
            </w: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4,162</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total unrecognized compensation expense and the applicable weighted-average period for that expense to be recognized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60" w:type="dxa"/>
            <w:vAlign w:val="bottom"/>
            <w:tcBorders>
              <w:bottom w:val="single" w:sz="8" w:color="CCEEFF"/>
            </w:tcBorders>
          </w:tcPr>
          <w:p>
            <w:pPr>
              <w:spacing w:after="0"/>
              <w:rPr>
                <w:sz w:val="14"/>
                <w:szCs w:val="14"/>
                <w:color w:val="auto"/>
              </w:rPr>
            </w:pPr>
          </w:p>
        </w:tc>
        <w:tc>
          <w:tcPr>
            <w:tcW w:w="2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Unrecognized compensation</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Weighted average period</w:t>
            </w:r>
          </w:p>
        </w:tc>
      </w:tr>
      <w:tr>
        <w:trPr>
          <w:trHeight w:val="16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Options</w:t>
            </w:r>
          </w:p>
        </w:tc>
        <w:tc>
          <w:tcPr>
            <w:tcW w:w="2240" w:type="dxa"/>
            <w:vAlign w:val="bottom"/>
            <w:shd w:val="clear" w:color="auto" w:fill="CCEEFF"/>
          </w:tcPr>
          <w:p>
            <w:pPr>
              <w:jc w:val="right"/>
              <w:ind w:right="20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215</w:t>
            </w:r>
          </w:p>
        </w:tc>
        <w:tc>
          <w:tcPr>
            <w:tcW w:w="80" w:type="dxa"/>
            <w:vAlign w:val="bottom"/>
            <w:shd w:val="clear" w:color="auto" w:fill="CCEEFF"/>
          </w:tcPr>
          <w:p>
            <w:pPr>
              <w:spacing w:after="0"/>
              <w:rPr>
                <w:sz w:val="14"/>
                <w:szCs w:val="14"/>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0.4 years</w:t>
            </w:r>
          </w:p>
        </w:tc>
      </w:tr>
      <w:tr>
        <w:trPr>
          <w:trHeight w:val="169"/>
        </w:trPr>
        <w:tc>
          <w:tcPr>
            <w:tcW w:w="5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RSUs</w:t>
            </w:r>
          </w:p>
        </w:tc>
        <w:tc>
          <w:tcPr>
            <w:tcW w:w="2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5,686</w:t>
            </w:r>
          </w:p>
        </w:tc>
        <w:tc>
          <w:tcPr>
            <w:tcW w:w="8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0.8 years</w:t>
            </w:r>
          </w:p>
        </w:tc>
      </w:tr>
      <w:tr>
        <w:trPr>
          <w:trHeight w:val="170"/>
        </w:trPr>
        <w:tc>
          <w:tcPr>
            <w:tcW w:w="5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RSAs</w:t>
            </w:r>
          </w:p>
        </w:tc>
        <w:tc>
          <w:tcPr>
            <w:tcW w:w="22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1,926</w:t>
            </w:r>
          </w:p>
        </w:tc>
        <w:tc>
          <w:tcPr>
            <w:tcW w:w="80" w:type="dxa"/>
            <w:vAlign w:val="bottom"/>
            <w:shd w:val="clear" w:color="auto" w:fill="CCEEFF"/>
          </w:tcPr>
          <w:p>
            <w:pPr>
              <w:spacing w:after="0"/>
              <w:rPr>
                <w:sz w:val="14"/>
                <w:szCs w:val="14"/>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1.4 years</w:t>
            </w:r>
          </w:p>
        </w:tc>
      </w:tr>
      <w:tr>
        <w:trPr>
          <w:trHeight w:val="160"/>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40" w:type="dxa"/>
            <w:vAlign w:val="bottom"/>
            <w:tcBorders>
              <w:bottom w:val="single" w:sz="8" w:color="auto"/>
            </w:tcBorders>
          </w:tcPr>
          <w:p>
            <w:pPr>
              <w:jc w:val="right"/>
              <w:ind w:right="20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7,826</w:t>
            </w:r>
          </w:p>
        </w:tc>
        <w:tc>
          <w:tcPr>
            <w:tcW w:w="80" w:type="dxa"/>
            <w:vAlign w:val="bottom"/>
          </w:tcPr>
          <w:p>
            <w:pPr>
              <w:spacing w:after="0"/>
              <w:rPr>
                <w:sz w:val="13"/>
                <w:szCs w:val="13"/>
                <w:color w:val="auto"/>
              </w:rPr>
            </w:pPr>
          </w:p>
        </w:tc>
        <w:tc>
          <w:tcPr>
            <w:tcW w:w="2400" w:type="dxa"/>
            <w:vAlign w:val="bottom"/>
          </w:tcPr>
          <w:p>
            <w:pPr>
              <w:spacing w:after="0"/>
              <w:rPr>
                <w:sz w:val="13"/>
                <w:szCs w:val="13"/>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Options</w:t>
      </w:r>
    </w:p>
    <w:p>
      <w:pPr>
        <w:spacing w:after="0" w:line="138"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Determining the appropriate fair value model and the related assumptions requires judgment. The fair value of each option granted is estimated using a Black-Scholes option-pricing model on the date of grant as follows for the years ended December 31: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8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30"/>
        </w:trPr>
        <w:tc>
          <w:tcPr>
            <w:tcW w:w="8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83"/>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dividend yield</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 to 10.0%</w:t>
            </w:r>
          </w:p>
        </w:tc>
      </w:tr>
      <w:tr>
        <w:trPr>
          <w:trHeight w:val="19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stock price volatility</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r>
      <w:tr>
        <w:trPr>
          <w:trHeight w:val="22"/>
        </w:trPr>
        <w:tc>
          <w:tcPr>
            <w:tcW w:w="8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2"/>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4.3% to 4.4%</w:t>
            </w:r>
          </w:p>
        </w:tc>
      </w:tr>
      <w:tr>
        <w:trPr>
          <w:trHeight w:val="19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life of option (in years)</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w:t>
            </w:r>
          </w:p>
        </w:tc>
      </w:tr>
      <w:tr>
        <w:trPr>
          <w:trHeight w:val="22"/>
        </w:trPr>
        <w:tc>
          <w:tcPr>
            <w:tcW w:w="8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Grant Date Fair Value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w:t>
            </w:r>
          </w:p>
        </w:tc>
      </w:tr>
      <w:tr>
        <w:trPr>
          <w:trHeight w:val="22"/>
        </w:trPr>
        <w:tc>
          <w:tcPr>
            <w:tcW w:w="81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r>
    </w:tbl>
    <w:p>
      <w:pPr>
        <w:spacing w:after="0" w:line="18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expected volatility rates are estimated based on the actual volatility of comparable public companies over the expected term. The expected term represents the average time that Options that vest are expected to be outstanding. Due to limited historical data, the Company calculates the expected life based on the midpoint between the vesting date and the contractual term, which is in accordance with the simplified method. The risk-free rate is based on the United States Treasury yield curve during the expected life of the option.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summarizes the stock option activity for the years ended December 31, 2025 and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color w:val="auto"/>
                <w:w w:val="95"/>
              </w:rPr>
              <w:t>Weighted Average Exercise</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color w:val="auto"/>
                <w:w w:val="97"/>
              </w:rPr>
              <w:t>Weighted Average Exercise</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3"/>
              </w:rPr>
              <w:t>Weighted Average</w:t>
            </w:r>
          </w:p>
        </w:tc>
      </w:tr>
      <w:tr>
        <w:trPr>
          <w:trHeight w:val="188"/>
        </w:trPr>
        <w:tc>
          <w:tcPr>
            <w:tcW w:w="5080" w:type="dxa"/>
            <w:vAlign w:val="bottom"/>
          </w:tcPr>
          <w:p>
            <w:pPr>
              <w:spacing w:after="0"/>
              <w:rPr>
                <w:sz w:val="16"/>
                <w:szCs w:val="16"/>
                <w:color w:val="auto"/>
              </w:rPr>
            </w:pP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Number of Shares</w:t>
            </w:r>
          </w:p>
        </w:tc>
        <w:tc>
          <w:tcPr>
            <w:tcW w:w="22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3"/>
              </w:rPr>
              <w:t>Price- (USD)</w:t>
            </w:r>
            <w:r>
              <w:rPr>
                <w:rFonts w:ascii="Times New Roman" w:cs="Times New Roman" w:eastAsia="Times New Roman" w:hAnsi="Times New Roman"/>
                <w:sz w:val="16"/>
                <w:szCs w:val="16"/>
                <w:color w:val="auto"/>
                <w:w w:val="93"/>
                <w:vertAlign w:val="superscript"/>
              </w:rPr>
              <w:t>(1)</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w w:val="95"/>
              </w:rPr>
              <w:t>Price-(GBP)</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Contractual Term (in years)</w:t>
            </w:r>
          </w:p>
        </w:tc>
      </w:tr>
      <w:tr>
        <w:trPr>
          <w:trHeight w:val="182"/>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as of December 31, 2024</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676,709</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83"/>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62,588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11.27</w:t>
            </w:r>
          </w:p>
        </w:tc>
        <w:tc>
          <w:tcPr>
            <w:tcW w:w="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9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Exercised</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Cancelled/Forfeited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(37,295)</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13.18</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9.80</w:t>
            </w: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Outstanding as of December 31,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702,002</w:t>
            </w:r>
          </w:p>
        </w:tc>
        <w:tc>
          <w:tcPr>
            <w:tcW w:w="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11.33</w:t>
            </w:r>
          </w:p>
        </w:tc>
        <w:tc>
          <w:tcPr>
            <w:tcW w:w="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8.42</w:t>
            </w:r>
          </w:p>
        </w:tc>
        <w:tc>
          <w:tcPr>
            <w:tcW w:w="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w:t>
            </w:r>
          </w:p>
        </w:tc>
      </w:tr>
      <w:tr>
        <w:trPr>
          <w:trHeight w:val="182"/>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Exercisable as of December 31, 2025</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463,391</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11.90</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8.84</w:t>
            </w: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5.8</w:t>
            </w:r>
          </w:p>
        </w:tc>
      </w:tr>
      <w:tr>
        <w:trPr>
          <w:trHeight w:val="182"/>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Vested and expected to vest as of December 31,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702,002</w:t>
            </w:r>
          </w:p>
        </w:tc>
        <w:tc>
          <w:tcPr>
            <w:tcW w:w="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11.33</w:t>
            </w:r>
          </w:p>
        </w:tc>
        <w:tc>
          <w:tcPr>
            <w:tcW w:w="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8.42</w:t>
            </w:r>
          </w:p>
        </w:tc>
        <w:tc>
          <w:tcPr>
            <w:tcW w:w="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w:t>
            </w:r>
          </w:p>
        </w:tc>
      </w:tr>
      <w:tr>
        <w:trPr>
          <w:trHeight w:val="380"/>
        </w:trPr>
        <w:tc>
          <w:tcPr>
            <w:tcW w:w="5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color w:val="auto"/>
                <w:w w:val="95"/>
              </w:rPr>
              <w:t>Weighted Average Exercise</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color w:val="auto"/>
                <w:w w:val="97"/>
              </w:rPr>
              <w:t>Weighted Average Exercise</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3"/>
              </w:rPr>
              <w:t>Weighted Average</w:t>
            </w:r>
          </w:p>
        </w:tc>
      </w:tr>
      <w:tr>
        <w:trPr>
          <w:trHeight w:val="191"/>
        </w:trPr>
        <w:tc>
          <w:tcPr>
            <w:tcW w:w="5080" w:type="dxa"/>
            <w:vAlign w:val="bottom"/>
          </w:tcPr>
          <w:p>
            <w:pPr>
              <w:spacing w:after="0"/>
              <w:rPr>
                <w:sz w:val="16"/>
                <w:szCs w:val="16"/>
                <w:color w:val="auto"/>
              </w:rPr>
            </w:pP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Number of Shares</w:t>
            </w:r>
          </w:p>
        </w:tc>
        <w:tc>
          <w:tcPr>
            <w:tcW w:w="22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3"/>
              </w:rPr>
              <w:t>Price- (USD)</w:t>
            </w:r>
            <w:r>
              <w:rPr>
                <w:rFonts w:ascii="Times New Roman" w:cs="Times New Roman" w:eastAsia="Times New Roman" w:hAnsi="Times New Roman"/>
                <w:sz w:val="16"/>
                <w:szCs w:val="16"/>
                <w:color w:val="auto"/>
                <w:w w:val="93"/>
                <w:vertAlign w:val="superscript"/>
              </w:rPr>
              <w:t>(1)</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w w:val="95"/>
              </w:rPr>
              <w:t>Price-(GBP)</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Contractual Term (in years)</w:t>
            </w:r>
          </w:p>
        </w:tc>
      </w:tr>
      <w:tr>
        <w:trPr>
          <w:trHeight w:val="182"/>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as of December 31, 2023</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617,812</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11.05</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w:t>
            </w: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83"/>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85,000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Exercised</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Cancelled/Forfeited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(26,103)</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10.70</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8.55</w:t>
            </w: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as of December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676,709</w:t>
            </w:r>
          </w:p>
        </w:tc>
        <w:tc>
          <w:tcPr>
            <w:tcW w:w="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w:t>
            </w:r>
          </w:p>
        </w:tc>
        <w:tc>
          <w:tcPr>
            <w:tcW w:w="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82"/>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Exercisable as of December 31, 2024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Vested and expected to vest as of December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676,709</w:t>
            </w:r>
          </w:p>
        </w:tc>
        <w:tc>
          <w:tcPr>
            <w:tcW w:w="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w:t>
            </w:r>
          </w:p>
        </w:tc>
        <w:tc>
          <w:tcPr>
            <w:tcW w:w="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r>
    </w:tbl>
    <w:p>
      <w:pPr>
        <w:spacing w:after="0" w:line="182" w:lineRule="exact"/>
        <w:rPr>
          <w:sz w:val="20"/>
          <w:szCs w:val="20"/>
          <w:color w:val="auto"/>
        </w:rPr>
      </w:pPr>
    </w:p>
    <w:p>
      <w:pPr>
        <w:ind w:left="260" w:hanging="102"/>
        <w:spacing w:after="0"/>
        <w:tabs>
          <w:tab w:leader="none" w:pos="260" w:val="left"/>
        </w:tabs>
        <w:numPr>
          <w:ilvl w:val="0"/>
          <w:numId w:val="29"/>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The applicable exercise prices have been adjusted based on the applicable exchange rate of GBP to USD at the end of each period presented.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Option expense for the years ended December 31, 2025 and 2024 was approximately $0.3 million and $0.6 million,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weighted average intrinsic value of stock options was $2.75 as of December 31,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Units ("RSUs")</w:t>
      </w:r>
    </w:p>
    <w:p>
      <w:pPr>
        <w:spacing w:after="0" w:line="138"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Determining the appropriate fair value model and the related assumptions requires judgment. The fair value of each RSU granted is estimated using a Black-Scholes option-pricing model on the date of grant as follows as for the years ended December 31: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60" w:type="dxa"/>
            <w:vAlign w:val="bottom"/>
            <w:gridSpan w:val="2"/>
          </w:tcPr>
          <w:p>
            <w:pPr>
              <w:jc w:val="center"/>
              <w:ind w:left="396"/>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tcPr>
          <w:p>
            <w:pPr>
              <w:jc w:val="right"/>
              <w:ind w:right="915"/>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66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183"/>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dividend yield</w:t>
            </w:r>
          </w:p>
        </w:tc>
        <w:tc>
          <w:tcPr>
            <w:tcW w:w="1760" w:type="dxa"/>
            <w:vAlign w:val="bottom"/>
            <w:tcBorders>
              <w:bottom w:val="single" w:sz="8" w:color="CCEEFF"/>
            </w:tcBorders>
            <w:gridSpan w:val="2"/>
            <w:shd w:val="clear" w:color="auto" w:fill="CCEEFF"/>
          </w:tcPr>
          <w:p>
            <w:pPr>
              <w:jc w:val="center"/>
              <w:ind w:left="396"/>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shd w:val="clear" w:color="auto" w:fill="CCEEFF"/>
          </w:tcPr>
          <w:p>
            <w:pPr>
              <w:jc w:val="right"/>
              <w:ind w:right="855"/>
              <w:spacing w:after="0"/>
              <w:rPr>
                <w:sz w:val="20"/>
                <w:szCs w:val="20"/>
                <w:color w:val="auto"/>
              </w:rPr>
            </w:pPr>
            <w:r>
              <w:rPr>
                <w:rFonts w:ascii="Times New Roman" w:cs="Times New Roman" w:eastAsia="Times New Roman" w:hAnsi="Times New Roman"/>
                <w:sz w:val="14"/>
                <w:szCs w:val="14"/>
                <w:color w:val="auto"/>
              </w:rPr>
              <w:t>10.0%</w:t>
            </w:r>
          </w:p>
        </w:tc>
      </w:tr>
      <w:tr>
        <w:trPr>
          <w:trHeight w:val="191"/>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stock price volatility</w:t>
            </w:r>
          </w:p>
        </w:tc>
        <w:tc>
          <w:tcPr>
            <w:tcW w:w="1760" w:type="dxa"/>
            <w:vAlign w:val="bottom"/>
            <w:gridSpan w:val="2"/>
          </w:tcPr>
          <w:p>
            <w:pPr>
              <w:jc w:val="center"/>
              <w:ind w:left="416"/>
              <w:spacing w:after="0"/>
              <w:rPr>
                <w:sz w:val="20"/>
                <w:szCs w:val="20"/>
                <w:color w:val="auto"/>
              </w:rPr>
            </w:pPr>
            <w:r>
              <w:rPr>
                <w:rFonts w:ascii="Times New Roman" w:cs="Times New Roman" w:eastAsia="Times New Roman" w:hAnsi="Times New Roman"/>
                <w:sz w:val="14"/>
                <w:szCs w:val="14"/>
                <w:color w:val="auto"/>
                <w:w w:val="99"/>
              </w:rPr>
              <w:t>40.0%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 to 50.0%</w:t>
            </w:r>
          </w:p>
        </w:tc>
      </w:tr>
      <w:tr>
        <w:trPr>
          <w:trHeight w:val="22"/>
        </w:trPr>
        <w:tc>
          <w:tcPr>
            <w:tcW w:w="6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2"/>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4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 to 4.0%</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 to 5.1%</w:t>
            </w:r>
          </w:p>
        </w:tc>
      </w:tr>
      <w:tr>
        <w:trPr>
          <w:trHeight w:val="191"/>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life of option (in years)</w:t>
            </w:r>
          </w:p>
        </w:tc>
        <w:tc>
          <w:tcPr>
            <w:tcW w:w="400" w:type="dxa"/>
            <w:vAlign w:val="bottom"/>
          </w:tcPr>
          <w:p>
            <w:pPr>
              <w:spacing w:after="0"/>
              <w:rPr>
                <w:sz w:val="16"/>
                <w:szCs w:val="16"/>
                <w:color w:val="auto"/>
              </w:rPr>
            </w:pPr>
          </w:p>
        </w:tc>
        <w:tc>
          <w:tcPr>
            <w:tcW w:w="14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1 to 3 years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 to 3 years</w:t>
            </w:r>
          </w:p>
        </w:tc>
      </w:tr>
      <w:tr>
        <w:trPr>
          <w:trHeight w:val="393"/>
        </w:trPr>
        <w:tc>
          <w:tcPr>
            <w:tcW w:w="7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Activity in the Company's non-vested RSUs was as follows for the years ended December 31, 2025 and 2024, respectively:</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32"/>
        </w:trPr>
        <w:tc>
          <w:tcPr>
            <w:tcW w:w="666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612"/>
              <w:spacing w:after="0"/>
              <w:rPr>
                <w:sz w:val="20"/>
                <w:szCs w:val="20"/>
                <w:color w:val="auto"/>
              </w:rPr>
            </w:pPr>
            <w:r>
              <w:rPr>
                <w:rFonts w:ascii="Times New Roman" w:cs="Times New Roman" w:eastAsia="Times New Roman" w:hAnsi="Times New Roman"/>
                <w:sz w:val="13"/>
                <w:szCs w:val="13"/>
                <w:color w:val="auto"/>
              </w:rPr>
              <w:t>Number of RSUs</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w w:val="95"/>
              </w:rPr>
              <w:t>Weighted Average Grant Date Fair Value</w:t>
            </w:r>
          </w:p>
        </w:tc>
      </w:tr>
      <w:tr>
        <w:trPr>
          <w:trHeight w:val="18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Nonvested as of December 31, 2024</w:t>
            </w:r>
          </w:p>
        </w:tc>
        <w:tc>
          <w:tcPr>
            <w:tcW w:w="50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869,330</w:t>
            </w:r>
          </w:p>
        </w:tc>
        <w:tc>
          <w:tcPr>
            <w:tcW w:w="80" w:type="dxa"/>
            <w:vAlign w:val="bottom"/>
            <w:shd w:val="clear" w:color="auto" w:fill="CCEEFF"/>
          </w:tcPr>
          <w:p>
            <w:pPr>
              <w:spacing w:after="0"/>
              <w:rPr>
                <w:sz w:val="16"/>
                <w:szCs w:val="16"/>
                <w:color w:val="auto"/>
              </w:rPr>
            </w:pPr>
          </w:p>
        </w:tc>
        <w:tc>
          <w:tcPr>
            <w:tcW w:w="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w:t>
            </w:r>
          </w:p>
        </w:tc>
      </w:tr>
      <w:tr>
        <w:trPr>
          <w:trHeight w:val="18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Granted</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498,532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w:t>
            </w:r>
          </w:p>
        </w:tc>
      </w:tr>
      <w:tr>
        <w:trPr>
          <w:trHeight w:val="199"/>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Vested</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(329,137)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w:t>
            </w:r>
          </w:p>
        </w:tc>
      </w:tr>
      <w:tr>
        <w:trPr>
          <w:trHeight w:val="183"/>
        </w:trPr>
        <w:tc>
          <w:tcPr>
            <w:tcW w:w="7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Cancelled/Forfeited</w:t>
            </w: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(46,993)</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8.93</w:t>
            </w:r>
          </w:p>
        </w:tc>
      </w:tr>
      <w:tr>
        <w:trPr>
          <w:trHeight w:val="182"/>
        </w:trPr>
        <w:tc>
          <w:tcPr>
            <w:tcW w:w="71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Nonvested as of December 31, 2025</w:t>
            </w:r>
          </w:p>
        </w:tc>
        <w:tc>
          <w:tcPr>
            <w:tcW w:w="1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991,732</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w:t>
            </w:r>
          </w:p>
        </w:tc>
      </w:tr>
      <w:tr>
        <w:trPr>
          <w:trHeight w:val="200"/>
        </w:trPr>
        <w:tc>
          <w:tcPr>
            <w:tcW w:w="6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91"/>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Nonvested as of December 31, 2023</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445,000</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w:t>
            </w:r>
          </w:p>
        </w:tc>
      </w:tr>
      <w:tr>
        <w:trPr>
          <w:trHeight w:val="18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Granted</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586,000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w:t>
            </w:r>
          </w:p>
        </w:tc>
      </w:tr>
      <w:tr>
        <w:trPr>
          <w:trHeight w:val="199"/>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Vested</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(161,670)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w:t>
            </w:r>
          </w:p>
        </w:tc>
      </w:tr>
      <w:tr>
        <w:trPr>
          <w:trHeight w:val="183"/>
        </w:trPr>
        <w:tc>
          <w:tcPr>
            <w:tcW w:w="7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Cancelled/Forfeited</w:t>
            </w: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71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Nonvested as of December 31, 2024</w:t>
            </w:r>
          </w:p>
        </w:tc>
        <w:tc>
          <w:tcPr>
            <w:tcW w:w="1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869,330</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RSU expense for the years ended December 31, 2025 and 2024, was approximately $3.1 million and $2.0 million,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Awards ("RSAs")</w:t>
      </w:r>
    </w:p>
    <w:p>
      <w:pPr>
        <w:spacing w:after="0" w:line="138"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Determining the appropriate fair value model and the related assumptions requires judgment. The fair value of each RSA granted is estimated using a Black-Scholes option-pricing model on the date of grant as follows for the years ended December 31: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30"/>
        </w:trPr>
        <w:tc>
          <w:tcPr>
            <w:tcW w:w="66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dividend yield</w:t>
            </w:r>
          </w:p>
        </w:tc>
        <w:tc>
          <w:tcPr>
            <w:tcW w:w="16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516"/>
              <w:spacing w:after="0"/>
              <w:rPr>
                <w:sz w:val="20"/>
                <w:szCs w:val="20"/>
                <w:color w:val="auto"/>
              </w:rPr>
            </w:pPr>
            <w:r>
              <w:rPr>
                <w:rFonts w:ascii="Times New Roman" w:cs="Times New Roman" w:eastAsia="Times New Roman" w:hAnsi="Times New Roman"/>
                <w:sz w:val="14"/>
                <w:szCs w:val="14"/>
                <w:color w:val="auto"/>
                <w:w w:val="88"/>
              </w:rPr>
              <w:t>0.0%</w:t>
            </w:r>
          </w:p>
        </w:tc>
        <w:tc>
          <w:tcPr>
            <w:tcW w:w="8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stock price volatility</w:t>
            </w:r>
          </w:p>
        </w:tc>
        <w:tc>
          <w:tcPr>
            <w:tcW w:w="3120" w:type="dxa"/>
            <w:vAlign w:val="bottom"/>
            <w:gridSpan w:val="4"/>
          </w:tcPr>
          <w:p>
            <w:pPr>
              <w:jc w:val="right"/>
              <w:ind w:right="476"/>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r>
      <w:tr>
        <w:trPr>
          <w:trHeight w:val="22"/>
        </w:trPr>
        <w:tc>
          <w:tcPr>
            <w:tcW w:w="66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6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516"/>
              <w:spacing w:after="0"/>
              <w:rPr>
                <w:sz w:val="20"/>
                <w:szCs w:val="20"/>
                <w:color w:val="auto"/>
              </w:rPr>
            </w:pPr>
            <w:r>
              <w:rPr>
                <w:rFonts w:ascii="Times New Roman" w:cs="Times New Roman" w:eastAsia="Times New Roman" w:hAnsi="Times New Roman"/>
                <w:sz w:val="14"/>
                <w:szCs w:val="14"/>
                <w:color w:val="auto"/>
                <w:w w:val="88"/>
              </w:rPr>
              <w:t>4.0%</w:t>
            </w:r>
          </w:p>
        </w:tc>
        <w:tc>
          <w:tcPr>
            <w:tcW w:w="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255"/>
              <w:spacing w:after="0"/>
              <w:rPr>
                <w:sz w:val="20"/>
                <w:szCs w:val="20"/>
                <w:color w:val="auto"/>
              </w:rPr>
            </w:pPr>
            <w:r>
              <w:rPr>
                <w:rFonts w:ascii="Times New Roman" w:cs="Times New Roman" w:eastAsia="Times New Roman" w:hAnsi="Times New Roman"/>
                <w:sz w:val="14"/>
                <w:szCs w:val="14"/>
                <w:color w:val="auto"/>
              </w:rPr>
              <w:t>5.1% to 5.2%</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life of option (in years)</w:t>
            </w:r>
          </w:p>
        </w:tc>
        <w:tc>
          <w:tcPr>
            <w:tcW w:w="1680" w:type="dxa"/>
            <w:vAlign w:val="bottom"/>
          </w:tcPr>
          <w:p>
            <w:pPr>
              <w:spacing w:after="0"/>
              <w:rPr>
                <w:sz w:val="16"/>
                <w:szCs w:val="16"/>
                <w:color w:val="auto"/>
              </w:rPr>
            </w:pPr>
          </w:p>
        </w:tc>
        <w:tc>
          <w:tcPr>
            <w:tcW w:w="1520" w:type="dxa"/>
            <w:vAlign w:val="bottom"/>
            <w:gridSpan w:val="4"/>
          </w:tcPr>
          <w:p>
            <w:pPr>
              <w:ind w:left="540"/>
              <w:spacing w:after="0"/>
              <w:rPr>
                <w:sz w:val="20"/>
                <w:szCs w:val="20"/>
                <w:color w:val="auto"/>
              </w:rPr>
            </w:pPr>
            <w:r>
              <w:rPr>
                <w:rFonts w:ascii="Times New Roman" w:cs="Times New Roman" w:eastAsia="Times New Roman" w:hAnsi="Times New Roman"/>
                <w:sz w:val="14"/>
                <w:szCs w:val="14"/>
                <w:color w:val="auto"/>
              </w:rPr>
              <w:t>1 year</w:t>
            </w:r>
          </w:p>
        </w:tc>
        <w:tc>
          <w:tcPr>
            <w:tcW w:w="1420" w:type="dxa"/>
            <w:vAlign w:val="bottom"/>
          </w:tcPr>
          <w:p>
            <w:pPr>
              <w:jc w:val="right"/>
              <w:ind w:right="475"/>
              <w:spacing w:after="0"/>
              <w:rPr>
                <w:sz w:val="20"/>
                <w:szCs w:val="20"/>
                <w:color w:val="auto"/>
              </w:rPr>
            </w:pPr>
            <w:r>
              <w:rPr>
                <w:rFonts w:ascii="Times New Roman" w:cs="Times New Roman" w:eastAsia="Times New Roman" w:hAnsi="Times New Roman"/>
                <w:sz w:val="14"/>
                <w:szCs w:val="14"/>
                <w:color w:val="auto"/>
              </w:rPr>
              <w:t>1 year</w:t>
            </w:r>
          </w:p>
        </w:tc>
      </w:tr>
      <w:tr>
        <w:trPr>
          <w:trHeight w:val="393"/>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Activity in the Company's non-vested RSAs was as follows:</w:t>
            </w: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06"/>
        </w:trPr>
        <w:tc>
          <w:tcPr>
            <w:tcW w:w="6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3"/>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Weighted Average Grant Date Fair</w:t>
            </w:r>
          </w:p>
        </w:tc>
      </w:tr>
      <w:tr>
        <w:trPr>
          <w:trHeight w:val="186"/>
        </w:trPr>
        <w:tc>
          <w:tcPr>
            <w:tcW w:w="666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gridSpan w:val="2"/>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Number of RSAs</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18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Nonvested as of December 31, 2024</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479,491</w:t>
            </w:r>
          </w:p>
        </w:tc>
        <w:tc>
          <w:tcPr>
            <w:tcW w:w="860" w:type="dxa"/>
            <w:vAlign w:val="bottom"/>
            <w:gridSpan w:val="2"/>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w:t>
            </w:r>
          </w:p>
        </w:tc>
      </w:tr>
      <w:tr>
        <w:trPr>
          <w:trHeight w:val="183"/>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Granted</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195,593</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9.45</w:t>
            </w:r>
          </w:p>
        </w:tc>
      </w:tr>
      <w:tr>
        <w:trPr>
          <w:trHeight w:val="19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Vested</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(263,176)</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w:t>
            </w:r>
          </w:p>
        </w:tc>
      </w:tr>
      <w:tr>
        <w:trPr>
          <w:trHeight w:val="183"/>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Cancelled/Forfeited</w:t>
            </w:r>
          </w:p>
        </w:tc>
        <w:tc>
          <w:tcPr>
            <w:tcW w:w="2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(3,624)</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6.08</w:t>
            </w:r>
          </w:p>
        </w:tc>
      </w:tr>
      <w:tr>
        <w:trPr>
          <w:trHeight w:val="182"/>
        </w:trPr>
        <w:tc>
          <w:tcPr>
            <w:tcW w:w="6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Nonvested as of December 31, 2025</w:t>
            </w:r>
          </w:p>
        </w:tc>
        <w:tc>
          <w:tcPr>
            <w:tcW w:w="2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408,284</w:t>
            </w:r>
          </w:p>
        </w:tc>
        <w:tc>
          <w:tcPr>
            <w:tcW w:w="860" w:type="dxa"/>
            <w:vAlign w:val="bottom"/>
            <w:tcBorders>
              <w:bottom w:val="single" w:sz="8" w:color="auto"/>
            </w:tcBorders>
            <w:gridSpan w:val="2"/>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w:t>
            </w:r>
          </w:p>
        </w:tc>
      </w:tr>
      <w:tr>
        <w:trPr>
          <w:trHeight w:val="200"/>
        </w:trPr>
        <w:tc>
          <w:tcPr>
            <w:tcW w:w="66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Nonvested as of December 31, 2023</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437,789</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w:t>
            </w:r>
          </w:p>
        </w:tc>
      </w:tr>
      <w:tr>
        <w:trPr>
          <w:trHeight w:val="183"/>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Granted</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140,748</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7.15</w:t>
            </w:r>
          </w:p>
        </w:tc>
      </w:tr>
      <w:tr>
        <w:trPr>
          <w:trHeight w:val="19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Vested</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(99,046)</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w:t>
            </w:r>
          </w:p>
        </w:tc>
      </w:tr>
      <w:tr>
        <w:trPr>
          <w:trHeight w:val="183"/>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Cancelled/Forfeited</w:t>
            </w:r>
          </w:p>
        </w:tc>
        <w:tc>
          <w:tcPr>
            <w:tcW w:w="16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6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Nonvested as of December 31, 2024</w:t>
            </w:r>
          </w:p>
        </w:tc>
        <w:tc>
          <w:tcPr>
            <w:tcW w:w="2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479,491</w:t>
            </w:r>
          </w:p>
        </w:tc>
        <w:tc>
          <w:tcPr>
            <w:tcW w:w="860" w:type="dxa"/>
            <w:vAlign w:val="bottom"/>
            <w:tcBorders>
              <w:bottom w:val="single" w:sz="8" w:color="auto"/>
            </w:tcBorders>
            <w:gridSpan w:val="2"/>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RSA expense for the years ended December 31, 2025 and 2024, was approximately $2.4 million and $1.3 million,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Appreciation Rights ("SARs")</w:t>
      </w:r>
    </w:p>
    <w:p>
      <w:pPr>
        <w:spacing w:after="0" w:line="13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SARs are not issued shares or committed shares to be issued and therefore do not count against the total number of shares that can be issued under the Omnibus Plan. Upon exercise of a SAR, the Company shall pay the grantee in cash an amount equal to the excess of the fair market value of a share of stock on the effective date of exercise in excess of the exercise price of the SAR. This cash settlement feature requires the SARs to be classified as a liability and remeasured at each reporting period. The SARs vest over a three-year period with one-third vesting each year after the grant date. The fair value of each SAR granted is estimated using a Black-Scholes option-pricing model and the fair value is adjusted at each reporting period. As of December 31, 2025 and 2024, the total liability recorded was $2.0 million and $0.7 million,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the SARs was calculated as follows as of:</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December 31, 2025</w:t>
            </w:r>
          </w:p>
        </w:tc>
        <w:tc>
          <w:tcPr>
            <w:tcW w:w="380" w:type="dxa"/>
            <w:vAlign w:val="bottom"/>
          </w:tcPr>
          <w:p>
            <w:pPr>
              <w:spacing w:after="0"/>
              <w:rPr>
                <w:sz w:val="15"/>
                <w:szCs w:val="15"/>
                <w:color w:val="auto"/>
              </w:rPr>
            </w:pPr>
          </w:p>
        </w:tc>
        <w:tc>
          <w:tcPr>
            <w:tcW w:w="1960" w:type="dxa"/>
            <w:vAlign w:val="bottom"/>
          </w:tcPr>
          <w:p>
            <w:pPr>
              <w:jc w:val="right"/>
              <w:ind w:right="596"/>
              <w:spacing w:after="0"/>
              <w:rPr>
                <w:sz w:val="20"/>
                <w:szCs w:val="20"/>
                <w:color w:val="auto"/>
              </w:rPr>
            </w:pPr>
            <w:r>
              <w:rPr>
                <w:rFonts w:ascii="Times New Roman" w:cs="Times New Roman" w:eastAsia="Times New Roman" w:hAnsi="Times New Roman"/>
                <w:sz w:val="13"/>
                <w:szCs w:val="13"/>
                <w:color w:val="auto"/>
              </w:rPr>
              <w:t>December 31, 2024</w:t>
            </w:r>
          </w:p>
        </w:tc>
      </w:tr>
      <w:tr>
        <w:trPr>
          <w:trHeight w:val="189"/>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Estimated dividend yield</w:t>
            </w:r>
          </w:p>
        </w:tc>
        <w:tc>
          <w:tcPr>
            <w:tcW w:w="380" w:type="dxa"/>
            <w:vAlign w:val="bottom"/>
            <w:tcBorders>
              <w:top w:val="single" w:sz="8" w:color="auto"/>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83"/>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Expected stock price volatility</w:t>
            </w:r>
          </w:p>
        </w:tc>
        <w:tc>
          <w:tcPr>
            <w:tcW w:w="38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r>
      <w:tr>
        <w:trPr>
          <w:trHeight w:val="19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Risk-free interest rate</w:t>
            </w:r>
          </w:p>
        </w:tc>
        <w:tc>
          <w:tcPr>
            <w:tcW w:w="38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 to 3.6%</w:t>
            </w:r>
          </w:p>
        </w:tc>
        <w:tc>
          <w:tcPr>
            <w:tcW w:w="38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 to 4.5%</w:t>
            </w:r>
          </w:p>
        </w:tc>
      </w:tr>
      <w:tr>
        <w:trPr>
          <w:trHeight w:val="183"/>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Expected life of instrument (in years)</w:t>
            </w:r>
          </w:p>
        </w:tc>
        <w:tc>
          <w:tcPr>
            <w:tcW w:w="380" w:type="dxa"/>
            <w:vAlign w:val="bottom"/>
          </w:tcPr>
          <w:p>
            <w:pPr>
              <w:spacing w:after="0"/>
              <w:rPr>
                <w:sz w:val="15"/>
                <w:szCs w:val="15"/>
                <w:color w:val="auto"/>
              </w:rPr>
            </w:pP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 to 3.3 years</w:t>
            </w:r>
          </w:p>
        </w:tc>
        <w:tc>
          <w:tcPr>
            <w:tcW w:w="38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 to 3.9 years</w:t>
            </w:r>
          </w:p>
        </w:tc>
      </w:tr>
      <w:tr>
        <w:trPr>
          <w:trHeight w:val="19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fair value per share</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6.60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2.55</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Activity in the Company's SARs was as follows for the year ended December 31, 2025 and year ended December 31,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3"/>
                <w:szCs w:val="13"/>
                <w:color w:val="auto"/>
              </w:rPr>
              <w:t>Number of Shares</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Weighted Average Exercise Price</w:t>
            </w:r>
          </w:p>
        </w:tc>
      </w:tr>
      <w:tr>
        <w:trPr>
          <w:trHeight w:val="18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as of December 31, 2023</w:t>
            </w:r>
          </w:p>
        </w:tc>
        <w:tc>
          <w:tcPr>
            <w:tcW w:w="17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r>
      <w:tr>
        <w:trPr>
          <w:trHeight w:val="183"/>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Granted</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Exercised</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8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Cancelled/Forfeited</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(11,000)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8.35</w:t>
            </w:r>
          </w:p>
        </w:tc>
      </w:tr>
      <w:tr>
        <w:trPr>
          <w:trHeight w:val="182"/>
        </w:trPr>
        <w:tc>
          <w:tcPr>
            <w:tcW w:w="83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as of December 31, 2024</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341,000</w:t>
            </w: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w:t>
            </w:r>
          </w:p>
        </w:tc>
      </w:tr>
      <w:tr>
        <w:trPr>
          <w:trHeight w:val="182"/>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Granted</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Exercised</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8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Cancelled/Forfeited</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8.98</w:t>
            </w:r>
          </w:p>
        </w:tc>
      </w:tr>
      <w:tr>
        <w:trPr>
          <w:trHeight w:val="182"/>
        </w:trPr>
        <w:tc>
          <w:tcPr>
            <w:tcW w:w="83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as of December 31, 2025</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311,000</w:t>
            </w: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w:t>
            </w:r>
          </w:p>
        </w:tc>
      </w:tr>
      <w:tr>
        <w:trPr>
          <w:trHeight w:val="182"/>
        </w:trPr>
        <w:tc>
          <w:tcPr>
            <w:tcW w:w="8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Exercisable as of December 31, 2025</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207,337</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8.97</w:t>
            </w:r>
          </w:p>
        </w:tc>
      </w:tr>
      <w:tr>
        <w:trPr>
          <w:trHeight w:val="182"/>
        </w:trPr>
        <w:tc>
          <w:tcPr>
            <w:tcW w:w="83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Vested and expected to vest as of December 31, 2025</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311,000</w:t>
            </w: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w:t>
            </w:r>
          </w:p>
        </w:tc>
      </w:tr>
    </w:tbl>
    <w:p>
      <w:pPr>
        <w:spacing w:after="0" w:line="187"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SAR expense for the years ended December 31, 2025 and 2024, was approximately $1.3 million and $0.4 million, respectively. The amount of the future expense for all SARs issued will depend upon the value of the Company's common stock and other factors at each future reporting date.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I</w:t>
      </w:r>
      <w:r>
        <w:rPr>
          <w:rFonts w:ascii="Times New Roman" w:cs="Times New Roman" w:eastAsia="Times New Roman" w:hAnsi="Times New Roman"/>
          <w:sz w:val="11"/>
          <w:szCs w:val="11"/>
          <w:b w:val="1"/>
          <w:bCs w:val="1"/>
          <w:color w:val="auto"/>
        </w:rPr>
        <w:t>NCOME</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11"/>
          <w:szCs w:val="11"/>
          <w:b w:val="1"/>
          <w:bCs w:val="1"/>
          <w:color w:val="auto"/>
        </w:rPr>
        <w:t>AXES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 before provision for income taxes for the years ended December 31, 2025 and 2024 was: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United States</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(27,259)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(19,942)</w:t>
            </w:r>
          </w:p>
        </w:tc>
      </w:tr>
      <w:tr>
        <w:trPr>
          <w:trHeight w:val="169"/>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Foreign</w:t>
            </w:r>
          </w:p>
        </w:tc>
        <w:tc>
          <w:tcPr>
            <w:tcW w:w="1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(7,343)</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2,530</w:t>
            </w:r>
          </w:p>
        </w:tc>
      </w:tr>
      <w:tr>
        <w:trPr>
          <w:trHeight w:val="160"/>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before income taxes</w:t>
            </w: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(34,602)</w:t>
            </w: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(17,412)</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income tax expense attributable to income before income taxes was a follows for the years ended December 31, 2025 and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tax expense (benefit):</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3"/>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Federal</w:t>
            </w:r>
          </w:p>
        </w:tc>
        <w:tc>
          <w:tcPr>
            <w:tcW w:w="980" w:type="dxa"/>
            <w:vAlign w:val="bottom"/>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5,438</w:t>
            </w:r>
          </w:p>
        </w:tc>
        <w:tc>
          <w:tcPr>
            <w:tcW w:w="80" w:type="dxa"/>
            <w:vAlign w:val="bottom"/>
          </w:tcPr>
          <w:p>
            <w:pPr>
              <w:spacing w:after="0"/>
              <w:rPr>
                <w:sz w:val="15"/>
                <w:szCs w:val="15"/>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5,588</w:t>
            </w:r>
          </w:p>
        </w:tc>
      </w:tr>
      <w:tr>
        <w:trPr>
          <w:trHeight w:val="19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State</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2,343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2,251</w:t>
            </w:r>
          </w:p>
        </w:tc>
      </w:tr>
      <w:tr>
        <w:trPr>
          <w:trHeight w:val="183"/>
        </w:trPr>
        <w:tc>
          <w:tcPr>
            <w:tcW w:w="8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Foreign</w:t>
            </w: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(757)</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8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current tax expense (benefit)</w:t>
            </w: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7,024</w:t>
            </w:r>
          </w:p>
        </w:tc>
        <w:tc>
          <w:tcPr>
            <w:tcW w:w="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7,839</w:t>
            </w:r>
          </w:p>
        </w:tc>
      </w:tr>
      <w:tr>
        <w:trPr>
          <w:trHeight w:val="182"/>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expense (benefit):</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Federal</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(2,389)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(1,252)</w:t>
            </w:r>
          </w:p>
        </w:tc>
      </w:tr>
      <w:tr>
        <w:trPr>
          <w:trHeight w:val="183"/>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State</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(790)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w:t>
            </w:r>
          </w:p>
        </w:tc>
      </w:tr>
      <w:tr>
        <w:trPr>
          <w:trHeight w:val="191"/>
        </w:trPr>
        <w:tc>
          <w:tcPr>
            <w:tcW w:w="8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Foreign</w:t>
            </w:r>
          </w:p>
        </w:tc>
        <w:tc>
          <w:tcPr>
            <w:tcW w:w="9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554</w:t>
            </w:r>
          </w:p>
        </w:tc>
        <w:tc>
          <w:tcPr>
            <w:tcW w:w="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r>
      <w:tr>
        <w:trPr>
          <w:trHeight w:val="182"/>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deferred tax (benefit)</w:t>
            </w: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(2,625)</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(1,294)</w:t>
            </w:r>
          </w:p>
        </w:tc>
      </w:tr>
      <w:tr>
        <w:trPr>
          <w:trHeight w:val="182"/>
        </w:trPr>
        <w:tc>
          <w:tcPr>
            <w:tcW w:w="8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provision for income taxes</w:t>
            </w:r>
          </w:p>
        </w:tc>
        <w:tc>
          <w:tcPr>
            <w:tcW w:w="98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4,399</w:t>
            </w:r>
          </w:p>
        </w:tc>
        <w:tc>
          <w:tcPr>
            <w:tcW w:w="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6,545</w:t>
            </w:r>
          </w:p>
        </w:tc>
      </w:tr>
    </w:tbl>
    <w:p>
      <w:pPr>
        <w:spacing w:after="0" w:line="17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Deferred income taxes reflect the net tax effect of temporary differences between the carrying amount of assets and liabilities for financial reporting purposes and the amounts used for income tax purposes. The acquisitions of KP, Engage, Multistate, Doherty, Lucas Public Affairs, TrailRunner and Pine Cove were taxable asset acquisitions. As such, the purchase consideration for these acquisitions generated tax-deductible goodwill in the combined amount of approximately $94.2 million. A deferred tax asset has been recorded in relation to the excess of the tax deductible goodwill as compared to the GAAP carrying value of goodwill. Of the $94.2 million of tax deductible goodwill, approximately $50.6 million is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eligible for amortization during 2025. None of the goodwill recorded in connection with the Pagefield business combination is deductible for tax purposes.</w:t>
      </w:r>
    </w:p>
    <w:p>
      <w:pPr>
        <w:spacing w:after="0" w:line="136"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As of December 31, 2025, there are no known items that would result in a material liability related to uncertain tax positions, as such, there are no unrecognized tax benefits. The Company's policy is to recognize interest and penalties related to uncertain tax positions in the provision for income taxes. As of December 31, 2025, the Company had no accrued interest or penalties related to uncertain tax positions. There were no changes in uncertain tax positions during the 2025 reporting year.</w:t>
      </w:r>
    </w:p>
    <w:p>
      <w:pPr>
        <w:spacing w:after="0" w:line="9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Company’s 2022 to 2024 domestic income tax return years are open under the statute of limitations for examination by the taxing authorities. Additionally, the Company’s income tax returns for Pagefield, TrailRunner UK, TrailRunner International Public Relations DMCC, and TrailRunner International Public Relations FZ for the years 2021 to 2024 are open under the statute of limitations for examination by the applicable taxing authorities. The Company had $0.2 million of foreign net operating losses that carry forward indefinitely. There were no federal or state net operating loss carryforwards as of December 31, 2025.</w:t>
      </w:r>
    </w:p>
    <w:p>
      <w:pPr>
        <w:spacing w:after="0" w:line="9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Company recorded a valuation allowance of less than $0.1 million against the deferred tax asset related to foreign net operating losses as of December 31, 2025 because realization is not more likely than not based on available positive and negative evidence. The change in valuation allowance was less than $0.1 million as of December 31, 2025.</w:t>
      </w:r>
    </w:p>
    <w:p>
      <w:pPr>
        <w:spacing w:after="0" w:line="8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Tax Cuts and Jobs Act of 2017 subjects a US shareholder to tax on global intangible low-taxed income (“GILTI”) earned by certain foreign subsidiaries. The Company has elected to account for GILTI in the year the tax is incurred. The Company recorded a GILTI inclusion of approximately $1.4 million and $0.6 million during the years ended December 31, 2025 and 2024, respectively.</w:t>
      </w:r>
    </w:p>
    <w:p>
      <w:pPr>
        <w:spacing w:after="0" w:line="8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On July 4, 2025, the US government enacted the One Big Beautiful Bill Act ("OBBBA"), which includes several changes to US federal income tax law including temporary and permanent extension of expiring provisions of the Tax Cuts and Jobs Act of 2017. Significant provisions for corporate taxpayers include permanent 100% bonus depreciation for qualified property, immediate expensing of domestic research &amp; development expenditures, and changes to the limitation on business interest expense deductions under Section 163(j). None of these provisions had a material impact on the Company’s 2025 income tax provision.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Significant components of the Company's deferred tax assets and liabilities are as follows as of December 31: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3"/>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assets</w:t>
            </w:r>
          </w:p>
        </w:tc>
        <w:tc>
          <w:tcPr>
            <w:tcW w:w="980" w:type="dxa"/>
            <w:vAlign w:val="bottom"/>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689</w:t>
            </w:r>
          </w:p>
        </w:tc>
        <w:tc>
          <w:tcPr>
            <w:tcW w:w="80" w:type="dxa"/>
            <w:vAlign w:val="bottom"/>
          </w:tcPr>
          <w:p>
            <w:pPr>
              <w:spacing w:after="0"/>
              <w:rPr>
                <w:sz w:val="15"/>
                <w:szCs w:val="15"/>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w:t>
            </w:r>
          </w:p>
        </w:tc>
      </w:tr>
      <w:tr>
        <w:trPr>
          <w:trHeight w:val="19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Foreign net operating losses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w:t>
            </w:r>
          </w:p>
        </w:tc>
      </w:tr>
      <w:tr>
        <w:trPr>
          <w:trHeight w:val="183"/>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Long term incentive plan RSUs</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1,281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w:t>
            </w:r>
          </w:p>
        </w:tc>
      </w:tr>
      <w:tr>
        <w:trPr>
          <w:trHeight w:val="19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Foreign equity compensation and accrual</w:t>
            </w:r>
          </w:p>
        </w:tc>
        <w:tc>
          <w:tcPr>
            <w:tcW w:w="9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r>
      <w:tr>
        <w:trPr>
          <w:trHeight w:val="183"/>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Goodwill</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23,492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10,998</w:t>
            </w:r>
          </w:p>
        </w:tc>
      </w:tr>
      <w:tr>
        <w:trPr>
          <w:trHeight w:val="19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ASC 842 Lease liability</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5,834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5,810</w:t>
            </w:r>
          </w:p>
        </w:tc>
      </w:tr>
      <w:tr>
        <w:trPr>
          <w:trHeight w:val="183"/>
        </w:trPr>
        <w:tc>
          <w:tcPr>
            <w:tcW w:w="8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Valuation Allowance</w:t>
            </w: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deferred income tax assets</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31,320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19,322</w:t>
            </w:r>
          </w:p>
        </w:tc>
      </w:tr>
      <w:tr>
        <w:trPr>
          <w:trHeight w:val="183"/>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liabilities:</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w:t>
            </w:r>
          </w:p>
        </w:tc>
      </w:tr>
      <w:tr>
        <w:trPr>
          <w:trHeight w:val="183"/>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Intangible assets</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(1,469)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(3,152)</w:t>
            </w:r>
          </w:p>
        </w:tc>
      </w:tr>
      <w:tr>
        <w:trPr>
          <w:trHeight w:val="191"/>
        </w:trPr>
        <w:tc>
          <w:tcPr>
            <w:tcW w:w="8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Right of use asset</w:t>
            </w:r>
          </w:p>
        </w:tc>
        <w:tc>
          <w:tcPr>
            <w:tcW w:w="9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(5,100)</w:t>
            </w:r>
          </w:p>
        </w:tc>
        <w:tc>
          <w:tcPr>
            <w:tcW w:w="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(4,949)</w:t>
            </w:r>
          </w:p>
        </w:tc>
      </w:tr>
      <w:tr>
        <w:trPr>
          <w:trHeight w:val="182"/>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deferred income tax liabilities</w:t>
            </w: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(6,720)</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(8,284)</w:t>
            </w:r>
          </w:p>
        </w:tc>
      </w:tr>
      <w:tr>
        <w:trPr>
          <w:trHeight w:val="182"/>
        </w:trPr>
        <w:tc>
          <w:tcPr>
            <w:tcW w:w="8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net deferred tax asset</w:t>
            </w:r>
          </w:p>
        </w:tc>
        <w:tc>
          <w:tcPr>
            <w:tcW w:w="98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24,600</w:t>
            </w:r>
          </w:p>
        </w:tc>
        <w:tc>
          <w:tcPr>
            <w:tcW w:w="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11,038</w:t>
            </w:r>
          </w:p>
        </w:tc>
      </w:tr>
    </w:tbl>
    <w:p>
      <w:pPr>
        <w:spacing w:after="0" w:line="187"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A reconciliation for the difference between actual income tax expense (benefit) compared to the amount computed by applying the statutory federal income tax rate to net loss before income tax for the year ended December 31, 2025 after the adoption of ASU 2023-09 is as follows: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w w:val="98"/>
              </w:rPr>
              <w:t>December 31, 2025</w:t>
            </w:r>
          </w:p>
        </w:tc>
        <w:tc>
          <w:tcPr>
            <w:tcW w:w="1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r>
      <w:tr>
        <w:trPr>
          <w:trHeight w:val="166"/>
        </w:trPr>
        <w:tc>
          <w:tcPr>
            <w:tcW w:w="7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w w:val="98"/>
              </w:rPr>
              <w:t>% of Pretax</w:t>
            </w:r>
          </w:p>
        </w:tc>
        <w:tc>
          <w:tcPr>
            <w:tcW w:w="140" w:type="dxa"/>
            <w:vAlign w:val="bottom"/>
          </w:tcPr>
          <w:p>
            <w:pPr>
              <w:spacing w:after="0"/>
              <w:rPr>
                <w:sz w:val="14"/>
                <w:szCs w:val="14"/>
                <w:color w:val="auto"/>
              </w:rPr>
            </w:pPr>
          </w:p>
        </w:tc>
      </w:tr>
      <w:tr>
        <w:trPr>
          <w:trHeight w:val="175"/>
        </w:trPr>
        <w:tc>
          <w:tcPr>
            <w:tcW w:w="76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Borders>
              <w:bottom w:val="single" w:sz="8" w:color="auto"/>
            </w:tcBorders>
          </w:tcPr>
          <w:p>
            <w:pPr>
              <w:spacing w:after="0"/>
              <w:rPr>
                <w:sz w:val="15"/>
                <w:szCs w:val="15"/>
                <w:color w:val="auto"/>
              </w:rPr>
            </w:pPr>
          </w:p>
        </w:tc>
      </w:tr>
      <w:tr>
        <w:trPr>
          <w:trHeight w:val="18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at US Federal Statutory Tax Rate</w:t>
            </w:r>
          </w:p>
        </w:tc>
        <w:tc>
          <w:tcPr>
            <w:tcW w:w="118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(7,264)</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83"/>
        </w:trPr>
        <w:tc>
          <w:tcPr>
            <w:tcW w:w="7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State and Local Income Taxes, Net of Federal Income Tax Effect</w:t>
            </w:r>
          </w:p>
        </w:tc>
        <w:tc>
          <w:tcPr>
            <w:tcW w:w="1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1,061</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 %</w:t>
            </w:r>
          </w:p>
        </w:tc>
      </w:tr>
      <w:tr>
        <w:trPr>
          <w:trHeight w:val="19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Tax Effects</w:t>
            </w: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83"/>
        </w:trPr>
        <w:tc>
          <w:tcPr>
            <w:tcW w:w="7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United Kingdom</w:t>
            </w: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9"/>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Statutory tax rate difference between UK and US</w:t>
            </w: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83"/>
        </w:trPr>
        <w:tc>
          <w:tcPr>
            <w:tcW w:w="7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Nondeductible Goodwill Impairment</w:t>
            </w:r>
          </w:p>
        </w:tc>
        <w:tc>
          <w:tcPr>
            <w:tcW w:w="1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1,514</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 %</w:t>
            </w:r>
          </w:p>
        </w:tc>
      </w:tr>
      <w:tr>
        <w:trPr>
          <w:trHeight w:val="199"/>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r>
      <w:tr>
        <w:trPr>
          <w:trHeight w:val="183"/>
        </w:trPr>
        <w:tc>
          <w:tcPr>
            <w:tcW w:w="7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United Arab Emirates</w:t>
            </w: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9"/>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Statutory tax rate difference between UAE and US</w:t>
            </w: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r>
      <w:tr>
        <w:trPr>
          <w:trHeight w:val="183"/>
        </w:trPr>
        <w:tc>
          <w:tcPr>
            <w:tcW w:w="7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1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r>
      <w:tr>
        <w:trPr>
          <w:trHeight w:val="19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Cross-Border Tax Laws</w:t>
            </w: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r>
      <w:tr>
        <w:trPr>
          <w:trHeight w:val="183"/>
        </w:trPr>
        <w:tc>
          <w:tcPr>
            <w:tcW w:w="7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Nontaxable or Nondeductible Items – US Federal Impact</w:t>
            </w: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9"/>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Prepaid post combination compensation expense</w:t>
            </w: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3,670</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 %</w:t>
            </w:r>
          </w:p>
        </w:tc>
      </w:tr>
      <w:tr>
        <w:trPr>
          <w:trHeight w:val="183"/>
        </w:trPr>
        <w:tc>
          <w:tcPr>
            <w:tcW w:w="7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Nondeductible share-based accounting charge</w:t>
            </w:r>
          </w:p>
        </w:tc>
        <w:tc>
          <w:tcPr>
            <w:tcW w:w="1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6,221</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(18.00) %</w:t>
            </w:r>
          </w:p>
        </w:tc>
      </w:tr>
      <w:tr>
        <w:trPr>
          <w:trHeight w:val="199"/>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Excess Tax Benefit – Equity Compensation</w:t>
            </w: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83"/>
        </w:trPr>
        <w:tc>
          <w:tcPr>
            <w:tcW w:w="7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Bargain Purchase Gain</w:t>
            </w:r>
          </w:p>
        </w:tc>
        <w:tc>
          <w:tcPr>
            <w:tcW w:w="1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99"/>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(0.50) %</w:t>
            </w:r>
          </w:p>
        </w:tc>
      </w:tr>
      <w:tr>
        <w:trPr>
          <w:trHeight w:val="183"/>
        </w:trPr>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Other Adjustments</w:t>
            </w:r>
          </w:p>
        </w:tc>
        <w:tc>
          <w:tcPr>
            <w:tcW w:w="1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(0.10) %</w:t>
            </w:r>
          </w:p>
        </w:tc>
      </w:tr>
      <w:tr>
        <w:trPr>
          <w:trHeight w:val="182"/>
        </w:trPr>
        <w:tc>
          <w:tcPr>
            <w:tcW w:w="7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Effective Tax Rate</w:t>
            </w:r>
          </w:p>
        </w:tc>
        <w:tc>
          <w:tcPr>
            <w:tcW w:w="1180" w:type="dxa"/>
            <w:vAlign w:val="bottom"/>
            <w:tcBorders>
              <w:bottom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4,399</w:t>
            </w: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(12.7)%</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states and local jurisdictions that contribute to the majority (greater than 50%) of the tax effect in this category include California, Washington D.C., and Virginia.</w:t>
      </w:r>
    </w:p>
    <w:p>
      <w:pPr>
        <w:spacing w:after="0" w:line="136"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 reconciliation of the provision for income taxes to the amount computed by applying the 21% statutory US federal income tax rate to income before income taxes for the year prior to the adoption of ASU 2023-09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c>
          <w:tcPr>
            <w:tcW w:w="140" w:type="dxa"/>
            <w:vAlign w:val="bottom"/>
            <w:tcBorders>
              <w:bottom w:val="single" w:sz="8" w:color="auto"/>
            </w:tcBorders>
          </w:tcPr>
          <w:p>
            <w:pPr>
              <w:spacing w:after="0"/>
              <w:rPr>
                <w:sz w:val="15"/>
                <w:szCs w:val="15"/>
                <w:color w:val="auto"/>
              </w:rPr>
            </w:pPr>
          </w:p>
        </w:tc>
      </w:tr>
      <w:tr>
        <w:trPr>
          <w:trHeight w:val="155"/>
        </w:trPr>
        <w:tc>
          <w:tcPr>
            <w:tcW w:w="8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 of Pretax</w:t>
            </w:r>
          </w:p>
        </w:tc>
        <w:tc>
          <w:tcPr>
            <w:tcW w:w="140" w:type="dxa"/>
            <w:vAlign w:val="bottom"/>
          </w:tcPr>
          <w:p>
            <w:pPr>
              <w:spacing w:after="0"/>
              <w:rPr>
                <w:sz w:val="13"/>
                <w:szCs w:val="13"/>
                <w:color w:val="auto"/>
              </w:rPr>
            </w:pPr>
          </w:p>
        </w:tc>
      </w:tr>
      <w:tr>
        <w:trPr>
          <w:trHeight w:val="186"/>
        </w:trPr>
        <w:tc>
          <w:tcPr>
            <w:tcW w:w="83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Borders>
              <w:bottom w:val="single" w:sz="8" w:color="auto"/>
            </w:tcBorders>
          </w:tcPr>
          <w:p>
            <w:pPr>
              <w:spacing w:after="0"/>
              <w:rPr>
                <w:sz w:val="16"/>
                <w:szCs w:val="16"/>
                <w:color w:val="auto"/>
              </w:rPr>
            </w:pPr>
          </w:p>
        </w:tc>
      </w:tr>
      <w:tr>
        <w:trPr>
          <w:trHeight w:val="18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Federal income tax benefit at statutory rate</w:t>
            </w: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(3,657)</w:t>
            </w:r>
          </w:p>
        </w:tc>
        <w:tc>
          <w:tcPr>
            <w:tcW w:w="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r>
      <w:tr>
        <w:trPr>
          <w:trHeight w:val="183"/>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State income taxes, net of federal income tax benefit</w:t>
            </w:r>
          </w:p>
        </w:tc>
        <w:tc>
          <w:tcPr>
            <w:tcW w:w="9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(1,168)</w:t>
            </w:r>
          </w:p>
        </w:tc>
        <w:tc>
          <w:tcPr>
            <w:tcW w:w="8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 %</w:t>
            </w:r>
          </w:p>
        </w:tc>
      </w:tr>
      <w:tr>
        <w:trPr>
          <w:trHeight w:val="19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Nondeductible share-based accounting charge</w:t>
            </w: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8,541</w:t>
            </w: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83"/>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Prepaid post-combination compensation expense</w:t>
            </w:r>
          </w:p>
        </w:tc>
        <w:tc>
          <w:tcPr>
            <w:tcW w:w="9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3,107</w:t>
            </w: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9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rate differential</w:t>
            </w: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83"/>
        </w:trPr>
        <w:tc>
          <w:tcPr>
            <w:tcW w:w="8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(2.2) %</w:t>
            </w:r>
          </w:p>
        </w:tc>
      </w:tr>
      <w:tr>
        <w:trPr>
          <w:trHeight w:val="182"/>
        </w:trPr>
        <w:tc>
          <w:tcPr>
            <w:tcW w:w="8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provision for income taxes</w:t>
            </w:r>
          </w:p>
        </w:tc>
        <w:tc>
          <w:tcPr>
            <w:tcW w:w="92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6,545</w:t>
            </w:r>
          </w:p>
        </w:tc>
        <w:tc>
          <w:tcPr>
            <w:tcW w:w="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37.6 %</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amounts of cash income taxes paid (received) by the Company for the year ended December 31, 2025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Federal</w:t>
            </w:r>
          </w:p>
        </w:tc>
        <w:tc>
          <w:tcPr>
            <w:tcW w:w="422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3,750</w:t>
            </w:r>
          </w:p>
        </w:tc>
      </w:tr>
      <w:tr>
        <w:trPr>
          <w:trHeight w:val="189"/>
        </w:trPr>
        <w:tc>
          <w:tcPr>
            <w:tcW w:w="5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State and Local</w:t>
            </w:r>
          </w:p>
        </w:tc>
        <w:tc>
          <w:tcPr>
            <w:tcW w:w="4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2,508</w:t>
            </w:r>
          </w:p>
        </w:tc>
      </w:tr>
      <w:tr>
        <w:trPr>
          <w:trHeight w:val="191"/>
        </w:trPr>
        <w:tc>
          <w:tcPr>
            <w:tcW w:w="5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(UK)</w:t>
            </w:r>
          </w:p>
        </w:tc>
        <w:tc>
          <w:tcPr>
            <w:tcW w:w="4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w:t>
            </w:r>
          </w:p>
        </w:tc>
      </w:tr>
      <w:tr>
        <w:trPr>
          <w:trHeight w:val="182"/>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Income Taxes, net of amounts refunded</w:t>
            </w:r>
          </w:p>
        </w:tc>
        <w:tc>
          <w:tcPr>
            <w:tcW w:w="4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5,939</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F</w:t>
      </w:r>
      <w:r>
        <w:rPr>
          <w:rFonts w:ascii="Times New Roman" w:cs="Times New Roman" w:eastAsia="Times New Roman" w:hAnsi="Times New Roman"/>
          <w:sz w:val="11"/>
          <w:szCs w:val="11"/>
          <w:b w:val="1"/>
          <w:bCs w:val="1"/>
          <w:color w:val="auto"/>
        </w:rPr>
        <w:t>AIR</w:t>
      </w:r>
      <w:r>
        <w:rPr>
          <w:rFonts w:ascii="Times New Roman" w:cs="Times New Roman" w:eastAsia="Times New Roman" w:hAnsi="Times New Roman"/>
          <w:sz w:val="14"/>
          <w:szCs w:val="14"/>
          <w:b w:val="1"/>
          <w:bCs w:val="1"/>
          <w:color w:val="auto"/>
        </w:rPr>
        <w:t xml:space="preserve"> V</w:t>
      </w:r>
      <w:r>
        <w:rPr>
          <w:rFonts w:ascii="Times New Roman" w:cs="Times New Roman" w:eastAsia="Times New Roman" w:hAnsi="Times New Roman"/>
          <w:sz w:val="11"/>
          <w:szCs w:val="11"/>
          <w:b w:val="1"/>
          <w:bCs w:val="1"/>
          <w:color w:val="auto"/>
        </w:rPr>
        <w:t>ALUE</w:t>
      </w:r>
      <w:r>
        <w:rPr>
          <w:rFonts w:ascii="Times New Roman" w:cs="Times New Roman" w:eastAsia="Times New Roman" w:hAnsi="Times New Roman"/>
          <w:sz w:val="14"/>
          <w:szCs w:val="14"/>
          <w:b w:val="1"/>
          <w:bCs w:val="1"/>
          <w:color w:val="auto"/>
        </w:rPr>
        <w:t xml:space="preserve"> M</w:t>
      </w:r>
      <w:r>
        <w:rPr>
          <w:rFonts w:ascii="Times New Roman" w:cs="Times New Roman" w:eastAsia="Times New Roman" w:hAnsi="Times New Roman"/>
          <w:sz w:val="11"/>
          <w:szCs w:val="11"/>
          <w:b w:val="1"/>
          <w:bCs w:val="1"/>
          <w:color w:val="auto"/>
        </w:rPr>
        <w:t>EASUREMENT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summary of the Company’s liabilities that are measured at fair value on a recurring basis by their respective fair value hierarchy level as of December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Level 1</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Level 2</w:t>
            </w: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rPr>
              <w:t>Level 3</w:t>
            </w:r>
          </w:p>
        </w:tc>
      </w:tr>
      <w:tr>
        <w:trPr>
          <w:trHeight w:val="18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liabilities</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12,030</w:t>
            </w:r>
          </w:p>
        </w:tc>
      </w:tr>
      <w:tr>
        <w:trPr>
          <w:trHeight w:val="183"/>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Contingent consideration</w:t>
            </w:r>
          </w:p>
        </w:tc>
        <w:tc>
          <w:tcPr>
            <w:tcW w:w="1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12,998</w:t>
            </w:r>
          </w:p>
        </w:tc>
      </w:tr>
      <w:tr>
        <w:trPr>
          <w:trHeight w:val="182"/>
        </w:trPr>
        <w:tc>
          <w:tcPr>
            <w:tcW w:w="6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25,028</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summary of the Company’s liabilities that are measured at fair value on a recurring basis by their respective fair value hierarchy level as of December 31,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Level 1</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Level 2</w:t>
            </w: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rPr>
              <w:t>Level 3</w:t>
            </w:r>
          </w:p>
        </w:tc>
      </w:tr>
      <w:tr>
        <w:trPr>
          <w:trHeight w:val="18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liabilities</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4,880</w:t>
            </w:r>
          </w:p>
        </w:tc>
      </w:tr>
      <w:tr>
        <w:trPr>
          <w:trHeight w:val="183"/>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Contingent consideration</w:t>
            </w:r>
          </w:p>
        </w:tc>
        <w:tc>
          <w:tcPr>
            <w:tcW w:w="1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10,896</w:t>
            </w:r>
          </w:p>
        </w:tc>
      </w:tr>
      <w:tr>
        <w:trPr>
          <w:trHeight w:val="182"/>
        </w:trPr>
        <w:tc>
          <w:tcPr>
            <w:tcW w:w="6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15,776</w:t>
            </w:r>
          </w:p>
        </w:tc>
      </w:tr>
    </w:tbl>
    <w:p>
      <w:pPr>
        <w:spacing w:after="0" w:line="187" w:lineRule="exact"/>
        <w:rPr>
          <w:sz w:val="20"/>
          <w:szCs w:val="20"/>
          <w:color w:val="auto"/>
        </w:rPr>
      </w:pPr>
    </w:p>
    <w:p>
      <w:pPr>
        <w:jc w:val="both"/>
        <w:ind w:right="40"/>
        <w:spacing w:after="0" w:line="287" w:lineRule="auto"/>
        <w:rPr>
          <w:sz w:val="20"/>
          <w:szCs w:val="20"/>
          <w:color w:val="auto"/>
        </w:rPr>
      </w:pPr>
      <w:r>
        <w:rPr>
          <w:rFonts w:ascii="Times New Roman" w:cs="Times New Roman" w:eastAsia="Times New Roman" w:hAnsi="Times New Roman"/>
          <w:sz w:val="14"/>
          <w:szCs w:val="14"/>
          <w:color w:val="auto"/>
        </w:rPr>
        <w:t>The carrying values of cash, contract receivables, and accounts payable and accrued expenses at December 31, 2025 and December 31, 2024 approximated their fair value due to the short maturity of these instruments.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Instruments that are Measured at Fair Value on a Recurring Basis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Contingent Consideration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contingent consideration from the Company's acquisitions were measured using Level 3 inputs.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summarized the change in fair value, as determined by Level 3 inputs, for the contingent consideration using the unobservable Level 3 inputs for the year ended December 31,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2025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4180" w:type="dxa"/>
            <w:vAlign w:val="bottom"/>
          </w:tcPr>
          <w:p>
            <w:pPr>
              <w:jc w:val="right"/>
              <w:ind w:right="67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10,896</w:t>
            </w:r>
          </w:p>
        </w:tc>
      </w:tr>
      <w:tr>
        <w:trPr>
          <w:trHeight w:val="19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stock payout of contingent consideration</w:t>
            </w:r>
          </w:p>
        </w:tc>
        <w:tc>
          <w:tcPr>
            <w:tcW w:w="4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w:t>
            </w:r>
          </w:p>
        </w:tc>
      </w:tr>
      <w:tr>
        <w:trPr>
          <w:trHeight w:val="183"/>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 in fair value</w:t>
            </w:r>
          </w:p>
        </w:tc>
        <w:tc>
          <w:tcPr>
            <w:tcW w:w="4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5,147</w:t>
            </w:r>
          </w:p>
        </w:tc>
      </w:tr>
      <w:tr>
        <w:trPr>
          <w:trHeight w:val="19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currency translation adjustment</w:t>
            </w:r>
          </w:p>
        </w:tc>
        <w:tc>
          <w:tcPr>
            <w:tcW w:w="4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83"/>
        </w:trPr>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Other adjustment</w:t>
            </w:r>
          </w:p>
        </w:tc>
        <w:tc>
          <w:tcPr>
            <w:tcW w:w="4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(2,505)</w:t>
            </w:r>
          </w:p>
        </w:tc>
      </w:tr>
      <w:tr>
        <w:trPr>
          <w:trHeight w:val="18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41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12,998</w:t>
            </w:r>
          </w:p>
        </w:tc>
      </w:tr>
    </w:tbl>
    <w:p>
      <w:pPr>
        <w:spacing w:after="0" w:line="176"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The following table summarized the change in fair value, as determined by Level 3 inputs, for the contingent consideration using the unobservable Level 3 inputs for the year ended December 31, 2024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4180" w:type="dxa"/>
            <w:vAlign w:val="bottom"/>
          </w:tcPr>
          <w:p>
            <w:pPr>
              <w:jc w:val="right"/>
              <w:ind w:right="67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6,920</w:t>
            </w:r>
          </w:p>
        </w:tc>
      </w:tr>
      <w:tr>
        <w:trPr>
          <w:trHeight w:val="19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Fair value at issuance</w:t>
            </w:r>
          </w:p>
        </w:tc>
        <w:tc>
          <w:tcPr>
            <w:tcW w:w="4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3,798</w:t>
            </w:r>
          </w:p>
        </w:tc>
      </w:tr>
      <w:tr>
        <w:trPr>
          <w:trHeight w:val="183"/>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stock payout of contingent consideration</w:t>
            </w:r>
          </w:p>
        </w:tc>
        <w:tc>
          <w:tcPr>
            <w:tcW w:w="4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(1,709)</w:t>
            </w:r>
          </w:p>
        </w:tc>
      </w:tr>
      <w:tr>
        <w:trPr>
          <w:trHeight w:val="19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fair value</w:t>
            </w:r>
          </w:p>
        </w:tc>
        <w:tc>
          <w:tcPr>
            <w:tcW w:w="4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1,910</w:t>
            </w:r>
          </w:p>
        </w:tc>
      </w:tr>
      <w:tr>
        <w:trPr>
          <w:trHeight w:val="183"/>
        </w:trPr>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Effect of currency translation adjustment</w:t>
            </w:r>
          </w:p>
        </w:tc>
        <w:tc>
          <w:tcPr>
            <w:tcW w:w="4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82"/>
        </w:trPr>
        <w:tc>
          <w:tcPr>
            <w:tcW w:w="5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41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10,896</w:t>
            </w:r>
          </w:p>
        </w:tc>
      </w:tr>
    </w:tbl>
    <w:p>
      <w:pPr>
        <w:spacing w:after="0" w:line="187"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estimated fair value of contingent consideration is calculated by Monte Carlo simulations utilize estimates including; expected volatility of future operating results, discount rates applicable to future results, and expected growth rates.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Liabilities</w:t>
      </w:r>
    </w:p>
    <w:p>
      <w:pPr>
        <w:spacing w:after="0" w:line="138"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 fair value of other liabilities, comprising of post-combination compensation obligations of the Company, relates to various acquisitions. The estimated fair value of other liabilities is calculated by Monte Carlo simulations utilize estimates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including; expected volatility of future operating results, discount rates applicable to future results, and expected growth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summarized the change in fair value, as determined by Level 3 inputs, for the other liabilities using the Level 3 inputs for the year ended December 31, 2025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4320" w:type="dxa"/>
            <w:vAlign w:val="bottom"/>
          </w:tcPr>
          <w:p>
            <w:pPr>
              <w:jc w:val="right"/>
              <w:ind w:right="73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4,880</w:t>
            </w:r>
          </w:p>
        </w:tc>
      </w:tr>
      <w:tr>
        <w:trPr>
          <w:trHeight w:val="19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Accretion of liability</w:t>
            </w:r>
          </w:p>
        </w:tc>
        <w:tc>
          <w:tcPr>
            <w:tcW w:w="4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8,490</w:t>
            </w:r>
          </w:p>
        </w:tc>
      </w:tr>
      <w:tr>
        <w:trPr>
          <w:trHeight w:val="183"/>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Changes in other liabilities</w:t>
            </w:r>
          </w:p>
        </w:tc>
        <w:tc>
          <w:tcPr>
            <w:tcW w:w="4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(1,714)</w:t>
            </w:r>
          </w:p>
        </w:tc>
      </w:tr>
      <w:tr>
        <w:trPr>
          <w:trHeight w:val="19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issued for settlement of other liability</w:t>
            </w:r>
          </w:p>
        </w:tc>
        <w:tc>
          <w:tcPr>
            <w:tcW w:w="4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r>
      <w:tr>
        <w:trPr>
          <w:trHeight w:val="183"/>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 of currency translation adjustment</w:t>
            </w:r>
          </w:p>
        </w:tc>
        <w:tc>
          <w:tcPr>
            <w:tcW w:w="4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91"/>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adjustment</w:t>
            </w:r>
          </w:p>
        </w:tc>
        <w:tc>
          <w:tcPr>
            <w:tcW w:w="43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74"/>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4320" w:type="dxa"/>
            <w:vAlign w:val="bottom"/>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12,030</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summarized the change in fair value, as determined by Level 3 inputs, for the other liabilities using the Level 3 inputs for the year ended December 31, 2024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470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2,120</w:t>
            </w:r>
          </w:p>
        </w:tc>
      </w:tr>
      <w:tr>
        <w:trPr>
          <w:trHeight w:val="19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Accretion of other liability</w:t>
            </w:r>
          </w:p>
        </w:tc>
        <w:tc>
          <w:tcPr>
            <w:tcW w:w="47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3,742</w:t>
            </w:r>
          </w:p>
        </w:tc>
      </w:tr>
      <w:tr>
        <w:trPr>
          <w:trHeight w:val="189"/>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Other liabilities</w:t>
            </w:r>
          </w:p>
        </w:tc>
        <w:tc>
          <w:tcPr>
            <w:tcW w:w="4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(982)</w:t>
            </w:r>
          </w:p>
        </w:tc>
      </w:tr>
      <w:tr>
        <w:trPr>
          <w:trHeight w:val="176"/>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47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4,880</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Monte Carlo assumptions and inputs (which are Level 3 inputs) are as follows for the years ended December 31, 2025 and 2024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20" w:type="dxa"/>
            <w:vAlign w:val="bottom"/>
            <w:tcBorders>
              <w:bottom w:val="single" w:sz="8" w:color="auto"/>
            </w:tcBorders>
          </w:tcPr>
          <w:p>
            <w:pPr>
              <w:spacing w:after="0"/>
              <w:rPr>
                <w:sz w:val="15"/>
                <w:szCs w:val="15"/>
                <w:color w:val="auto"/>
              </w:rPr>
            </w:pPr>
          </w:p>
        </w:tc>
        <w:tc>
          <w:tcPr>
            <w:tcW w:w="4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80" w:type="dxa"/>
            <w:vAlign w:val="bottom"/>
          </w:tcPr>
          <w:p>
            <w:pPr>
              <w:spacing w:after="0"/>
              <w:rPr>
                <w:sz w:val="15"/>
                <w:szCs w:val="15"/>
                <w:color w:val="auto"/>
              </w:rPr>
            </w:pPr>
          </w:p>
        </w:tc>
        <w:tc>
          <w:tcPr>
            <w:tcW w:w="2740" w:type="dxa"/>
            <w:vAlign w:val="bottom"/>
          </w:tcPr>
          <w:p>
            <w:pPr>
              <w:spacing w:after="0"/>
              <w:rPr>
                <w:sz w:val="15"/>
                <w:szCs w:val="15"/>
                <w:color w:val="auto"/>
              </w:rPr>
            </w:pPr>
          </w:p>
        </w:tc>
      </w:tr>
      <w:tr>
        <w:trPr>
          <w:trHeight w:val="182"/>
        </w:trPr>
        <w:tc>
          <w:tcPr>
            <w:tcW w:w="3520" w:type="dxa"/>
            <w:vAlign w:val="bottom"/>
          </w:tcPr>
          <w:p>
            <w:pPr>
              <w:ind w:left="2400"/>
              <w:spacing w:after="0"/>
              <w:rPr>
                <w:sz w:val="20"/>
                <w:szCs w:val="20"/>
                <w:color w:val="auto"/>
              </w:rPr>
            </w:pPr>
            <w:r>
              <w:rPr>
                <w:rFonts w:ascii="Times New Roman" w:cs="Times New Roman" w:eastAsia="Times New Roman" w:hAnsi="Times New Roman"/>
                <w:sz w:val="13"/>
                <w:szCs w:val="13"/>
                <w:b w:val="1"/>
                <w:bCs w:val="1"/>
                <w:color w:val="auto"/>
              </w:rPr>
              <w:t>Significant Input</w:t>
            </w:r>
          </w:p>
        </w:tc>
        <w:tc>
          <w:tcPr>
            <w:tcW w:w="5020" w:type="dxa"/>
            <w:vAlign w:val="bottom"/>
            <w:gridSpan w:val="2"/>
          </w:tcPr>
          <w:p>
            <w:pPr>
              <w:ind w:left="2920"/>
              <w:spacing w:after="0"/>
              <w:rPr>
                <w:sz w:val="20"/>
                <w:szCs w:val="20"/>
                <w:color w:val="auto"/>
              </w:rPr>
            </w:pPr>
            <w:r>
              <w:rPr>
                <w:rFonts w:ascii="Times New Roman" w:cs="Times New Roman" w:eastAsia="Times New Roman" w:hAnsi="Times New Roman"/>
                <w:sz w:val="13"/>
                <w:szCs w:val="13"/>
                <w:b w:val="1"/>
                <w:bCs w:val="1"/>
                <w:color w:val="auto"/>
              </w:rPr>
              <w:t>Weighted Average Input</w:t>
            </w:r>
          </w:p>
        </w:tc>
        <w:tc>
          <w:tcPr>
            <w:tcW w:w="2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Input Range</w:t>
            </w:r>
          </w:p>
        </w:tc>
      </w:tr>
      <w:tr>
        <w:trPr>
          <w:trHeight w:val="189"/>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Discount rate for credit risk and time value</w:t>
            </w:r>
          </w:p>
        </w:tc>
        <w:tc>
          <w:tcPr>
            <w:tcW w:w="4940" w:type="dxa"/>
            <w:vAlign w:val="bottom"/>
            <w:tcBorders>
              <w:top w:val="single" w:sz="8" w:color="auto"/>
            </w:tcBorders>
            <w:shd w:val="clear" w:color="auto" w:fill="CCEEFF"/>
          </w:tcPr>
          <w:p>
            <w:pPr>
              <w:jc w:val="center"/>
              <w:ind w:left="2156"/>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Borders>
              <w:top w:val="single" w:sz="8" w:color="CCEEFF"/>
            </w:tcBorders>
            <w:shd w:val="clear" w:color="auto" w:fill="CCEEFF"/>
          </w:tcPr>
          <w:p>
            <w:pPr>
              <w:spacing w:after="0"/>
              <w:rPr>
                <w:sz w:val="16"/>
                <w:szCs w:val="16"/>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4.4% to 4.8%</w:t>
            </w:r>
          </w:p>
        </w:tc>
      </w:tr>
      <w:tr>
        <w:trPr>
          <w:trHeight w:val="183"/>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Discount rate for future profit after tax</w:t>
            </w:r>
          </w:p>
        </w:tc>
        <w:tc>
          <w:tcPr>
            <w:tcW w:w="4940" w:type="dxa"/>
            <w:vAlign w:val="bottom"/>
          </w:tcPr>
          <w:p>
            <w:pPr>
              <w:jc w:val="center"/>
              <w:ind w:left="2156"/>
              <w:spacing w:after="0"/>
              <w:rPr>
                <w:sz w:val="20"/>
                <w:szCs w:val="20"/>
                <w:color w:val="auto"/>
              </w:rPr>
            </w:pPr>
            <w:r>
              <w:rPr>
                <w:rFonts w:ascii="Times New Roman" w:cs="Times New Roman" w:eastAsia="Times New Roman" w:hAnsi="Times New Roman"/>
                <w:sz w:val="13"/>
                <w:szCs w:val="13"/>
                <w:color w:val="auto"/>
                <w:w w:val="95"/>
              </w:rPr>
              <w:t>15.1%</w:t>
            </w:r>
          </w:p>
        </w:tc>
        <w:tc>
          <w:tcPr>
            <w:tcW w:w="80" w:type="dxa"/>
            <w:vAlign w:val="bottom"/>
          </w:tcPr>
          <w:p>
            <w:pPr>
              <w:spacing w:after="0"/>
              <w:rPr>
                <w:sz w:val="15"/>
                <w:szCs w:val="15"/>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11.3% to 19.4%</w:t>
            </w:r>
          </w:p>
        </w:tc>
      </w:tr>
      <w:tr>
        <w:trPr>
          <w:trHeight w:val="19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Expected volatility of future annual profit after tax</w:t>
            </w:r>
          </w:p>
        </w:tc>
        <w:tc>
          <w:tcPr>
            <w:tcW w:w="4940" w:type="dxa"/>
            <w:vAlign w:val="bottom"/>
            <w:shd w:val="clear" w:color="auto" w:fill="CCEEFF"/>
          </w:tcPr>
          <w:p>
            <w:pPr>
              <w:jc w:val="center"/>
              <w:ind w:left="2156"/>
              <w:spacing w:after="0"/>
              <w:rPr>
                <w:sz w:val="20"/>
                <w:szCs w:val="20"/>
                <w:color w:val="auto"/>
              </w:rPr>
            </w:pPr>
            <w:r>
              <w:rPr>
                <w:rFonts w:ascii="Times New Roman" w:cs="Times New Roman" w:eastAsia="Times New Roman" w:hAnsi="Times New Roman"/>
                <w:sz w:val="13"/>
                <w:szCs w:val="13"/>
                <w:color w:val="auto"/>
                <w:w w:val="95"/>
              </w:rPr>
              <w:t>29.0%</w:t>
            </w:r>
          </w:p>
        </w:tc>
        <w:tc>
          <w:tcPr>
            <w:tcW w:w="80" w:type="dxa"/>
            <w:vAlign w:val="bottom"/>
            <w:shd w:val="clear" w:color="auto" w:fill="CCEEFF"/>
          </w:tcPr>
          <w:p>
            <w:pPr>
              <w:spacing w:after="0"/>
              <w:rPr>
                <w:sz w:val="17"/>
                <w:szCs w:val="17"/>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29.0%</w:t>
            </w:r>
          </w:p>
        </w:tc>
      </w:tr>
      <w:tr>
        <w:trPr>
          <w:trHeight w:val="183"/>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Discount Rate Applicable to Future Annual EBITDA</w:t>
            </w:r>
          </w:p>
        </w:tc>
        <w:tc>
          <w:tcPr>
            <w:tcW w:w="4940" w:type="dxa"/>
            <w:vAlign w:val="bottom"/>
          </w:tcPr>
          <w:p>
            <w:pPr>
              <w:jc w:val="center"/>
              <w:ind w:left="2156"/>
              <w:spacing w:after="0"/>
              <w:rPr>
                <w:sz w:val="20"/>
                <w:szCs w:val="20"/>
                <w:color w:val="auto"/>
              </w:rPr>
            </w:pPr>
            <w:r>
              <w:rPr>
                <w:rFonts w:ascii="Times New Roman" w:cs="Times New Roman" w:eastAsia="Times New Roman" w:hAnsi="Times New Roman"/>
                <w:sz w:val="13"/>
                <w:szCs w:val="13"/>
                <w:color w:val="auto"/>
                <w:w w:val="95"/>
              </w:rPr>
              <w:t>15.0%</w:t>
            </w:r>
          </w:p>
        </w:tc>
        <w:tc>
          <w:tcPr>
            <w:tcW w:w="80" w:type="dxa"/>
            <w:vAlign w:val="bottom"/>
          </w:tcPr>
          <w:p>
            <w:pPr>
              <w:spacing w:after="0"/>
              <w:rPr>
                <w:sz w:val="15"/>
                <w:szCs w:val="15"/>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14.4% to 15.5%</w:t>
            </w:r>
          </w:p>
        </w:tc>
      </w:tr>
      <w:tr>
        <w:trPr>
          <w:trHeight w:val="19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Expected Volatility of Future Annual EBITDA</w:t>
            </w:r>
          </w:p>
        </w:tc>
        <w:tc>
          <w:tcPr>
            <w:tcW w:w="4940" w:type="dxa"/>
            <w:vAlign w:val="bottom"/>
            <w:shd w:val="clear" w:color="auto" w:fill="CCEEFF"/>
          </w:tcPr>
          <w:p>
            <w:pPr>
              <w:jc w:val="center"/>
              <w:ind w:left="2156"/>
              <w:spacing w:after="0"/>
              <w:rPr>
                <w:sz w:val="20"/>
                <w:szCs w:val="20"/>
                <w:color w:val="auto"/>
              </w:rPr>
            </w:pPr>
            <w:r>
              <w:rPr>
                <w:rFonts w:ascii="Times New Roman" w:cs="Times New Roman" w:eastAsia="Times New Roman" w:hAnsi="Times New Roman"/>
                <w:sz w:val="13"/>
                <w:szCs w:val="13"/>
                <w:color w:val="auto"/>
                <w:w w:val="95"/>
              </w:rPr>
              <w:t>30.5%</w:t>
            </w:r>
          </w:p>
        </w:tc>
        <w:tc>
          <w:tcPr>
            <w:tcW w:w="80" w:type="dxa"/>
            <w:vAlign w:val="bottom"/>
            <w:shd w:val="clear" w:color="auto" w:fill="CCEEFF"/>
          </w:tcPr>
          <w:p>
            <w:pPr>
              <w:spacing w:after="0"/>
              <w:rPr>
                <w:sz w:val="17"/>
                <w:szCs w:val="17"/>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29.0% to 32.0%</w:t>
            </w:r>
          </w:p>
        </w:tc>
      </w:tr>
      <w:tr>
        <w:trPr>
          <w:trHeight w:val="176"/>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Forecasted growth rate</w:t>
            </w:r>
          </w:p>
        </w:tc>
        <w:tc>
          <w:tcPr>
            <w:tcW w:w="4940" w:type="dxa"/>
            <w:vAlign w:val="bottom"/>
          </w:tcPr>
          <w:p>
            <w:pPr>
              <w:jc w:val="center"/>
              <w:ind w:left="2156"/>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15"/>
                <w:szCs w:val="15"/>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0.9% to 17.1%</w:t>
            </w:r>
          </w:p>
        </w:tc>
      </w:tr>
    </w:tbl>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20" w:type="dxa"/>
            <w:vAlign w:val="bottom"/>
            <w:tcBorders>
              <w:bottom w:val="single" w:sz="8" w:color="auto"/>
            </w:tcBorders>
          </w:tcPr>
          <w:p>
            <w:pPr>
              <w:spacing w:after="0"/>
              <w:rPr>
                <w:sz w:val="15"/>
                <w:szCs w:val="15"/>
                <w:color w:val="auto"/>
              </w:rPr>
            </w:pPr>
          </w:p>
        </w:tc>
        <w:tc>
          <w:tcPr>
            <w:tcW w:w="4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tcPr>
          <w:p>
            <w:pPr>
              <w:spacing w:after="0"/>
              <w:rPr>
                <w:sz w:val="15"/>
                <w:szCs w:val="15"/>
                <w:color w:val="auto"/>
              </w:rPr>
            </w:pPr>
          </w:p>
        </w:tc>
        <w:tc>
          <w:tcPr>
            <w:tcW w:w="2740" w:type="dxa"/>
            <w:vAlign w:val="bottom"/>
          </w:tcPr>
          <w:p>
            <w:pPr>
              <w:spacing w:after="0"/>
              <w:rPr>
                <w:sz w:val="15"/>
                <w:szCs w:val="15"/>
                <w:color w:val="auto"/>
              </w:rPr>
            </w:pPr>
          </w:p>
        </w:tc>
      </w:tr>
      <w:tr>
        <w:trPr>
          <w:trHeight w:val="182"/>
        </w:trPr>
        <w:tc>
          <w:tcPr>
            <w:tcW w:w="3520" w:type="dxa"/>
            <w:vAlign w:val="bottom"/>
          </w:tcPr>
          <w:p>
            <w:pPr>
              <w:ind w:left="2400"/>
              <w:spacing w:after="0"/>
              <w:rPr>
                <w:sz w:val="20"/>
                <w:szCs w:val="20"/>
                <w:color w:val="auto"/>
              </w:rPr>
            </w:pPr>
            <w:r>
              <w:rPr>
                <w:rFonts w:ascii="Times New Roman" w:cs="Times New Roman" w:eastAsia="Times New Roman" w:hAnsi="Times New Roman"/>
                <w:sz w:val="13"/>
                <w:szCs w:val="13"/>
                <w:b w:val="1"/>
                <w:bCs w:val="1"/>
                <w:color w:val="auto"/>
              </w:rPr>
              <w:t>Significant Input</w:t>
            </w:r>
          </w:p>
        </w:tc>
        <w:tc>
          <w:tcPr>
            <w:tcW w:w="5020" w:type="dxa"/>
            <w:vAlign w:val="bottom"/>
            <w:gridSpan w:val="2"/>
          </w:tcPr>
          <w:p>
            <w:pPr>
              <w:ind w:left="2920"/>
              <w:spacing w:after="0"/>
              <w:rPr>
                <w:sz w:val="20"/>
                <w:szCs w:val="20"/>
                <w:color w:val="auto"/>
              </w:rPr>
            </w:pPr>
            <w:r>
              <w:rPr>
                <w:rFonts w:ascii="Times New Roman" w:cs="Times New Roman" w:eastAsia="Times New Roman" w:hAnsi="Times New Roman"/>
                <w:sz w:val="13"/>
                <w:szCs w:val="13"/>
                <w:b w:val="1"/>
                <w:bCs w:val="1"/>
                <w:color w:val="auto"/>
              </w:rPr>
              <w:t>Weighted Average Input</w:t>
            </w:r>
          </w:p>
        </w:tc>
        <w:tc>
          <w:tcPr>
            <w:tcW w:w="2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Input Range</w:t>
            </w:r>
          </w:p>
        </w:tc>
      </w:tr>
      <w:tr>
        <w:trPr>
          <w:trHeight w:val="189"/>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Discount rate for credit risk and time value</w:t>
            </w:r>
          </w:p>
        </w:tc>
        <w:tc>
          <w:tcPr>
            <w:tcW w:w="4940" w:type="dxa"/>
            <w:vAlign w:val="bottom"/>
            <w:tcBorders>
              <w:top w:val="single" w:sz="8" w:color="auto"/>
            </w:tcBorders>
            <w:shd w:val="clear" w:color="auto" w:fill="CCEEFF"/>
          </w:tcPr>
          <w:p>
            <w:pPr>
              <w:jc w:val="center"/>
              <w:ind w:left="2156"/>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Borders>
              <w:top w:val="single" w:sz="8" w:color="CCEEFF"/>
            </w:tcBorders>
            <w:shd w:val="clear" w:color="auto" w:fill="CCEEFF"/>
          </w:tcPr>
          <w:p>
            <w:pPr>
              <w:spacing w:after="0"/>
              <w:rPr>
                <w:sz w:val="16"/>
                <w:szCs w:val="16"/>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5.2% to 5.4%</w:t>
            </w:r>
          </w:p>
        </w:tc>
      </w:tr>
      <w:tr>
        <w:trPr>
          <w:trHeight w:val="183"/>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Discount rate for future profit after tax</w:t>
            </w:r>
          </w:p>
        </w:tc>
        <w:tc>
          <w:tcPr>
            <w:tcW w:w="4940" w:type="dxa"/>
            <w:vAlign w:val="bottom"/>
          </w:tcPr>
          <w:p>
            <w:pPr>
              <w:jc w:val="center"/>
              <w:ind w:left="2156"/>
              <w:spacing w:after="0"/>
              <w:rPr>
                <w:sz w:val="20"/>
                <w:szCs w:val="20"/>
                <w:color w:val="auto"/>
              </w:rPr>
            </w:pPr>
            <w:r>
              <w:rPr>
                <w:rFonts w:ascii="Times New Roman" w:cs="Times New Roman" w:eastAsia="Times New Roman" w:hAnsi="Times New Roman"/>
                <w:sz w:val="13"/>
                <w:szCs w:val="13"/>
                <w:color w:val="auto"/>
                <w:w w:val="95"/>
              </w:rPr>
              <w:t>16.4%</w:t>
            </w:r>
          </w:p>
        </w:tc>
        <w:tc>
          <w:tcPr>
            <w:tcW w:w="80" w:type="dxa"/>
            <w:vAlign w:val="bottom"/>
          </w:tcPr>
          <w:p>
            <w:pPr>
              <w:spacing w:after="0"/>
              <w:rPr>
                <w:sz w:val="15"/>
                <w:szCs w:val="15"/>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11.5% to 21.3%</w:t>
            </w:r>
          </w:p>
        </w:tc>
      </w:tr>
      <w:tr>
        <w:trPr>
          <w:trHeight w:val="19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Expected volatility of future annual profit after tax</w:t>
            </w:r>
          </w:p>
        </w:tc>
        <w:tc>
          <w:tcPr>
            <w:tcW w:w="4940" w:type="dxa"/>
            <w:vAlign w:val="bottom"/>
            <w:shd w:val="clear" w:color="auto" w:fill="CCEEFF"/>
          </w:tcPr>
          <w:p>
            <w:pPr>
              <w:jc w:val="center"/>
              <w:ind w:left="2156"/>
              <w:spacing w:after="0"/>
              <w:rPr>
                <w:sz w:val="20"/>
                <w:szCs w:val="20"/>
                <w:color w:val="auto"/>
              </w:rPr>
            </w:pPr>
            <w:r>
              <w:rPr>
                <w:rFonts w:ascii="Times New Roman" w:cs="Times New Roman" w:eastAsia="Times New Roman" w:hAnsi="Times New Roman"/>
                <w:sz w:val="13"/>
                <w:szCs w:val="13"/>
                <w:color w:val="auto"/>
                <w:w w:val="95"/>
              </w:rPr>
              <w:t>31.0%</w:t>
            </w:r>
          </w:p>
        </w:tc>
        <w:tc>
          <w:tcPr>
            <w:tcW w:w="80" w:type="dxa"/>
            <w:vAlign w:val="bottom"/>
            <w:shd w:val="clear" w:color="auto" w:fill="CCEEFF"/>
          </w:tcPr>
          <w:p>
            <w:pPr>
              <w:spacing w:after="0"/>
              <w:rPr>
                <w:sz w:val="17"/>
                <w:szCs w:val="17"/>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29.0% to 34.0%</w:t>
            </w:r>
          </w:p>
        </w:tc>
      </w:tr>
      <w:tr>
        <w:trPr>
          <w:trHeight w:val="176"/>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Forecasted growth rate</w:t>
            </w:r>
          </w:p>
        </w:tc>
        <w:tc>
          <w:tcPr>
            <w:tcW w:w="4940" w:type="dxa"/>
            <w:vAlign w:val="bottom"/>
          </w:tcPr>
          <w:p>
            <w:pPr>
              <w:jc w:val="center"/>
              <w:ind w:left="2156"/>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tcPr>
          <w:p>
            <w:pPr>
              <w:spacing w:after="0"/>
              <w:rPr>
                <w:sz w:val="15"/>
                <w:szCs w:val="15"/>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4.9% to 70.8%</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Instruments that are not Measured at Fair Value on a Recurring Basis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Notes Payable of the Company are subject to a variable interest rate and as such, the carrying amount closely approximates the fair value of this instrument.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Non-financial Assets and Liabilities that are Measured at Fair Value on a Nonrecurring Basis</w:t>
      </w:r>
    </w:p>
    <w:p>
      <w:pPr>
        <w:spacing w:after="0" w:line="138"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Certain non-financial assets are measured at fair value on a nonrecurring basis, primarily goodwill, intangible assets (Level 3 fair value measurements) and right-of-use lease assets (Level 2 fair value measurement). Accordingly, these assets are not measured and adjusted to fair value on an ongoing basis but are subject to periodic evaluations for potential impairment.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ACQUISITIONS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Lucas Public Affairs, Inc. (“LPA”)</w:t>
      </w:r>
    </w:p>
    <w:p>
      <w:pPr>
        <w:spacing w:after="0" w:line="138"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On May 1, 2024, the Company entered into an Asset Purchase Agreement ("LPA Agreement") and acquired certain assets and assumed certain liabilities of Lucas Public Affairs, Inc. ("Seller" or "LPA") through the creation of a wholly-owned subsidiary, Lucas Public Affairs, LLC ("LPA LLC"). At the closing of the transaction, the Company paid the Seller cash in the amount of $6.0 million ("LPA Closing Cash Payment") and issued 191,675 shares of the Company's common stock ("LPA Closing Share Payment") to Seller at an aggregate fair value of approximately $1.5 million, of which, all the shares have vesting requirements ("LPA Vesting Shares").</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there are additional contingent payments that the Seller can earn in the future depending on certain operating results that are achieved. The total additional amount of consideration that the Company could be required to pay to the Seller is $9.8 million of cash and $4.7 million of stock ("LPA Seller Shares") for total additional consideration of up to $14.5 million. This combined with the closing payments already made could require total payments of up to $22.0 million to the Seller.</w:t>
      </w:r>
    </w:p>
    <w:p>
      <w:pPr>
        <w:spacing w:after="0" w:line="93"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LPA Agreement provides certain forfeiture provisions applicable to any future cash or share payments owed, which generally require the owners of the Seller ("LPA Owner") to remain employed by the Company for a certain period of time to receive the full amount of those future payments, although there are certain exceptions.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Reasons for the acquisition</w:t>
      </w:r>
    </w:p>
    <w:p>
      <w:pPr>
        <w:spacing w:after="0" w:line="138"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Company acquired LPA to expand the scope of its consulting services provided in respect of federal, state and local governments. Specifically, LPA provides significant complementary services to companies and organizations doing business in the state of California.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Purchase consideration</w:t>
      </w:r>
    </w:p>
    <w:p>
      <w:pPr>
        <w:spacing w:after="0" w:line="138"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Company determined that certain consideration provided to LPA in the LPA Agreement does not qualify as purchase consideration in accordance with the guidance of ASC 805. The Company determined that the purchase consideration consists of the amount of cash and share payments owed to LPA that are not subject to a vesting or claw back provision that is directly linked to the continued employment of LPA Owners. The total purchase consideration consisted of the following amounts: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LPA Closing Cash Payment</w:t>
            </w:r>
          </w:p>
        </w:tc>
        <w:tc>
          <w:tcPr>
            <w:tcW w:w="462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w:t>
            </w:r>
          </w:p>
        </w:tc>
      </w:tr>
      <w:tr>
        <w:trPr>
          <w:trHeight w:val="191"/>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46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r>
      <w:tr>
        <w:trPr>
          <w:trHeight w:val="22"/>
        </w:trPr>
        <w:tc>
          <w:tcPr>
            <w:tcW w:w="5780" w:type="dxa"/>
            <w:vAlign w:val="bottom"/>
            <w:tcBorders>
              <w:bottom w:val="single" w:sz="8" w:color="auto"/>
            </w:tcBorders>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purchase consideration</w:t>
            </w:r>
          </w:p>
        </w:tc>
        <w:tc>
          <w:tcPr>
            <w:tcW w:w="4620" w:type="dxa"/>
            <w:vAlign w:val="bottom"/>
            <w:tcBorders>
              <w:bottom w:val="single" w:sz="8" w:color="CCEEFF"/>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1,937</w:t>
            </w:r>
          </w:p>
        </w:tc>
      </w:tr>
      <w:tr>
        <w:trPr>
          <w:trHeight w:val="20"/>
        </w:trPr>
        <w:tc>
          <w:tcPr>
            <w:tcW w:w="5780" w:type="dxa"/>
            <w:vAlign w:val="bottom"/>
            <w:shd w:val="clear" w:color="auto" w:fill="000000"/>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87"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The LPA Closing Cash Payment and contingent consideration allocated as purchase consideration consists of the amount of the LPA Closing Cash Payment and estimated fair value of future payments that are not subject to vesting or claw back provisions tied to continued employment.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Purchase price allocation</w:t>
      </w:r>
    </w:p>
    <w:p>
      <w:pPr>
        <w:spacing w:after="0" w:line="138"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The allocation of the purchase consideration resulted in the following amounts being allocated to the assets acquired and liabilities assumed as of the purchase date of May 1, 2024 based on their respective estimated fair values is summarized below:</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5" w:name="page96"/>
    <w:bookmarkEnd w:id="95"/>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2400" w:type="dxa"/>
            <w:vAlign w:val="bottom"/>
          </w:tcPr>
          <w:p>
            <w:pPr>
              <w:spacing w:after="0"/>
              <w:rPr>
                <w:sz w:val="17"/>
                <w:szCs w:val="17"/>
                <w:color w:val="auto"/>
              </w:rPr>
            </w:pPr>
          </w:p>
        </w:tc>
        <w:tc>
          <w:tcPr>
            <w:tcW w:w="7980" w:type="dxa"/>
            <w:vAlign w:val="bottom"/>
          </w:tcPr>
          <w:p>
            <w:pPr>
              <w:jc w:val="center"/>
              <w:ind w:right="1432"/>
              <w:spacing w:after="0"/>
              <w:rPr>
                <w:sz w:val="20"/>
                <w:szCs w:val="20"/>
                <w:color w:val="auto"/>
              </w:rPr>
            </w:pPr>
            <w:r>
              <w:rPr>
                <w:rFonts w:ascii="Times New Roman" w:cs="Times New Roman" w:eastAsia="Times New Roman" w:hAnsi="Times New Roman"/>
                <w:sz w:val="16"/>
                <w:szCs w:val="16"/>
                <w:b w:val="1"/>
                <w:bCs w:val="1"/>
                <w:color w:val="auto"/>
                <w:w w:val="96"/>
              </w:rPr>
              <w:t>PUBLIC POLICY HOLDING COMPANY, INC. AND SUBSIDIARIES</w:t>
            </w:r>
          </w:p>
        </w:tc>
        <w:tc>
          <w:tcPr>
            <w:tcW w:w="900" w:type="dxa"/>
            <w:vAlign w:val="bottom"/>
          </w:tcPr>
          <w:p>
            <w:pPr>
              <w:spacing w:after="0"/>
              <w:rPr>
                <w:sz w:val="17"/>
                <w:szCs w:val="17"/>
                <w:color w:val="auto"/>
              </w:rPr>
            </w:pPr>
          </w:p>
        </w:tc>
      </w:tr>
      <w:tr>
        <w:trPr>
          <w:trHeight w:val="291"/>
        </w:trPr>
        <w:tc>
          <w:tcPr>
            <w:tcW w:w="2400" w:type="dxa"/>
            <w:vAlign w:val="bottom"/>
          </w:tcPr>
          <w:p>
            <w:pPr>
              <w:spacing w:after="0"/>
              <w:rPr>
                <w:sz w:val="24"/>
                <w:szCs w:val="24"/>
                <w:color w:val="auto"/>
              </w:rPr>
            </w:pPr>
          </w:p>
        </w:tc>
        <w:tc>
          <w:tcPr>
            <w:tcW w:w="7980" w:type="dxa"/>
            <w:vAlign w:val="bottom"/>
          </w:tcPr>
          <w:p>
            <w:pPr>
              <w:jc w:val="center"/>
              <w:ind w:right="1412"/>
              <w:spacing w:after="0"/>
              <w:rPr>
                <w:sz w:val="20"/>
                <w:szCs w:val="20"/>
                <w:color w:val="auto"/>
              </w:rPr>
            </w:pPr>
            <w:r>
              <w:rPr>
                <w:rFonts w:ascii="Times New Roman" w:cs="Times New Roman" w:eastAsia="Times New Roman" w:hAnsi="Times New Roman"/>
                <w:sz w:val="14"/>
                <w:szCs w:val="14"/>
                <w:b w:val="1"/>
                <w:bCs w:val="1"/>
                <w:color w:val="auto"/>
                <w:w w:val="99"/>
              </w:rPr>
              <w:t>NOTES TO CONSOLIDATED FINANCIAL STATEMENTS</w:t>
            </w:r>
          </w:p>
        </w:tc>
        <w:tc>
          <w:tcPr>
            <w:tcW w:w="900" w:type="dxa"/>
            <w:vAlign w:val="bottom"/>
          </w:tcPr>
          <w:p>
            <w:pPr>
              <w:spacing w:after="0"/>
              <w:rPr>
                <w:sz w:val="24"/>
                <w:szCs w:val="24"/>
                <w:color w:val="auto"/>
              </w:rPr>
            </w:pPr>
          </w:p>
        </w:tc>
      </w:tr>
      <w:tr>
        <w:trPr>
          <w:trHeight w:val="167"/>
        </w:trPr>
        <w:tc>
          <w:tcPr>
            <w:tcW w:w="2400" w:type="dxa"/>
            <w:vAlign w:val="bottom"/>
          </w:tcPr>
          <w:p>
            <w:pPr>
              <w:spacing w:after="0"/>
              <w:rPr>
                <w:sz w:val="14"/>
                <w:szCs w:val="14"/>
                <w:color w:val="auto"/>
              </w:rPr>
            </w:pPr>
          </w:p>
        </w:tc>
        <w:tc>
          <w:tcPr>
            <w:tcW w:w="7980" w:type="dxa"/>
            <w:vAlign w:val="bottom"/>
          </w:tcPr>
          <w:p>
            <w:pPr>
              <w:jc w:val="center"/>
              <w:ind w:right="1432"/>
              <w:spacing w:after="0"/>
              <w:rPr>
                <w:sz w:val="20"/>
                <w:szCs w:val="20"/>
                <w:color w:val="auto"/>
              </w:rPr>
            </w:pPr>
            <w:r>
              <w:rPr>
                <w:rFonts w:ascii="Times New Roman" w:cs="Times New Roman" w:eastAsia="Times New Roman" w:hAnsi="Times New Roman"/>
                <w:sz w:val="13"/>
                <w:szCs w:val="13"/>
                <w:b w:val="1"/>
                <w:bCs w:val="1"/>
                <w:color w:val="auto"/>
                <w:w w:val="97"/>
              </w:rPr>
              <w:t>(Amounts in thousands, except share and per share data)</w:t>
            </w:r>
          </w:p>
        </w:tc>
        <w:tc>
          <w:tcPr>
            <w:tcW w:w="900" w:type="dxa"/>
            <w:vAlign w:val="bottom"/>
          </w:tcPr>
          <w:p>
            <w:pPr>
              <w:spacing w:after="0"/>
              <w:rPr>
                <w:sz w:val="14"/>
                <w:szCs w:val="14"/>
                <w:color w:val="auto"/>
              </w:rPr>
            </w:pPr>
          </w:p>
        </w:tc>
      </w:tr>
      <w:tr>
        <w:trPr>
          <w:trHeight w:val="344"/>
        </w:trPr>
        <w:tc>
          <w:tcPr>
            <w:tcW w:w="240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798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w:t>
            </w: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Right of use assets</w:t>
            </w:r>
          </w:p>
        </w:tc>
        <w:tc>
          <w:tcPr>
            <w:tcW w:w="79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w:t>
            </w:r>
          </w:p>
        </w:tc>
      </w:tr>
      <w:tr>
        <w:trPr>
          <w:trHeight w:val="19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Tradename</w:t>
            </w:r>
          </w:p>
        </w:tc>
        <w:tc>
          <w:tcPr>
            <w:tcW w:w="79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w:t>
            </w: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Noncompete agreements</w:t>
            </w:r>
          </w:p>
        </w:tc>
        <w:tc>
          <w:tcPr>
            <w:tcW w:w="79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r>
      <w:tr>
        <w:trPr>
          <w:trHeight w:val="19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income tax asset</w:t>
            </w:r>
          </w:p>
        </w:tc>
        <w:tc>
          <w:tcPr>
            <w:tcW w:w="79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1,962</w:t>
            </w:r>
          </w:p>
        </w:tc>
      </w:tr>
      <w:tr>
        <w:trPr>
          <w:trHeight w:val="183"/>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Lease liability</w:t>
            </w:r>
          </w:p>
        </w:tc>
        <w:tc>
          <w:tcPr>
            <w:tcW w:w="79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(284)</w:t>
            </w:r>
          </w:p>
        </w:tc>
      </w:tr>
      <w:tr>
        <w:trPr>
          <w:trHeight w:val="18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assets acquired</w:t>
            </w:r>
          </w:p>
        </w:tc>
        <w:tc>
          <w:tcPr>
            <w:tcW w:w="79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4,293</w:t>
            </w:r>
          </w:p>
        </w:tc>
      </w:tr>
      <w:tr>
        <w:trPr>
          <w:trHeight w:val="183"/>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Less estimated purchase price</w:t>
            </w:r>
          </w:p>
        </w:tc>
        <w:tc>
          <w:tcPr>
            <w:tcW w:w="79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(1,937)</w:t>
            </w:r>
          </w:p>
        </w:tc>
      </w:tr>
      <w:tr>
        <w:trPr>
          <w:trHeight w:val="182"/>
        </w:trPr>
        <w:tc>
          <w:tcPr>
            <w:tcW w:w="2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Gain on bargain purchase</w:t>
            </w:r>
          </w:p>
        </w:tc>
        <w:tc>
          <w:tcPr>
            <w:tcW w:w="798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2,356</w:t>
            </w:r>
          </w:p>
        </w:tc>
      </w:tr>
    </w:tbl>
    <w:p>
      <w:pPr>
        <w:spacing w:after="0" w:line="187"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4"/>
          <w:szCs w:val="14"/>
          <w:color w:val="auto"/>
        </w:rPr>
        <w:t>The fair value of customer relationships was determined using the income approach, which requires management to estimate a number of factors for each reporting unit, including projected future operating results, anticipating future cash flows and discount rates. The fair value of noncompete agreements was determined using an income approach method, which requires management to estimate a number of factors related to the expected future cash flows of LPA LLC and the potential impact and probability of competition, assuming such noncompete agreements were not in place. The primary factors that contributed to the gain on bargain purchase recognized from the LPA acquisition include the requirement for the key employees of LPA to stay employees of the Company for a significant period of time. The weighted average amortization period for customer relationships is seven years, and noncompete agreements is five years.</w:t>
      </w:r>
    </w:p>
    <w:p>
      <w:pPr>
        <w:spacing w:after="0" w:line="101" w:lineRule="exact"/>
        <w:rPr>
          <w:sz w:val="20"/>
          <w:szCs w:val="20"/>
          <w:color w:val="auto"/>
        </w:rPr>
      </w:pPr>
    </w:p>
    <w:p>
      <w:pPr>
        <w:ind w:left="20" w:right="60"/>
        <w:spacing w:after="0" w:line="270" w:lineRule="auto"/>
        <w:rPr>
          <w:sz w:val="20"/>
          <w:szCs w:val="20"/>
          <w:color w:val="auto"/>
        </w:rPr>
      </w:pPr>
      <w:r>
        <w:rPr>
          <w:rFonts w:ascii="Times New Roman" w:cs="Times New Roman" w:eastAsia="Times New Roman" w:hAnsi="Times New Roman"/>
          <w:sz w:val="14"/>
          <w:szCs w:val="14"/>
          <w:color w:val="auto"/>
        </w:rPr>
        <w:t>The fair value of the contingent consideration was performed using Monte Carlo simulations to estimate the achievement and amount of certain future operating results. The Monte Carlo simulations utilize estimates including; expected volatility of future operating results, discount rates applicable to future results, and expected growth rates. The table below provides the significant inputs to the calculation of the contingent consideration as of the acquisition date: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3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Significant Input</w:t>
            </w:r>
          </w:p>
        </w:tc>
        <w:tc>
          <w:tcPr>
            <w:tcW w:w="17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Range</w:t>
            </w:r>
          </w:p>
        </w:tc>
      </w:tr>
      <w:tr>
        <w:trPr>
          <w:trHeight w:val="189"/>
        </w:trPr>
        <w:tc>
          <w:tcPr>
            <w:tcW w:w="20" w:type="dxa"/>
            <w:vAlign w:val="bottom"/>
          </w:tcPr>
          <w:p>
            <w:pPr>
              <w:spacing w:after="0"/>
              <w:rPr>
                <w:sz w:val="16"/>
                <w:szCs w:val="16"/>
                <w:color w:val="auto"/>
              </w:rPr>
            </w:pPr>
          </w:p>
        </w:tc>
        <w:tc>
          <w:tcPr>
            <w:tcW w:w="9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Discount rate for credit risk and time value</w:t>
            </w:r>
          </w:p>
        </w:tc>
        <w:tc>
          <w:tcPr>
            <w:tcW w:w="8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5.2% to 5.4%</w:t>
            </w:r>
          </w:p>
        </w:tc>
      </w:tr>
      <w:tr>
        <w:trPr>
          <w:trHeight w:val="183"/>
        </w:trPr>
        <w:tc>
          <w:tcPr>
            <w:tcW w:w="93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Discount rate for future profit after tax</w:t>
            </w: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15.7% to 16.4%</w:t>
            </w:r>
          </w:p>
        </w:tc>
      </w:tr>
      <w:tr>
        <w:trPr>
          <w:trHeight w:val="199"/>
        </w:trPr>
        <w:tc>
          <w:tcPr>
            <w:tcW w:w="20" w:type="dxa"/>
            <w:vAlign w:val="bottom"/>
          </w:tcPr>
          <w:p>
            <w:pPr>
              <w:spacing w:after="0"/>
              <w:rPr>
                <w:sz w:val="17"/>
                <w:szCs w:val="17"/>
                <w:color w:val="auto"/>
              </w:rPr>
            </w:pPr>
          </w:p>
        </w:tc>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volatility of future annual profit after tax</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35.0% to 38.0%</w:t>
            </w:r>
          </w:p>
        </w:tc>
      </w:tr>
      <w:tr>
        <w:trPr>
          <w:trHeight w:val="176"/>
        </w:trPr>
        <w:tc>
          <w:tcPr>
            <w:tcW w:w="93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Forecasted growth rate</w:t>
            </w: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9.5% to 13.4%</w:t>
            </w:r>
          </w:p>
        </w:tc>
      </w:tr>
    </w:tbl>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Pagefield Communications Limited ("Pagefield")</w:t>
      </w:r>
    </w:p>
    <w:p>
      <w:pPr>
        <w:spacing w:after="0" w:line="138" w:lineRule="exact"/>
        <w:rPr>
          <w:sz w:val="20"/>
          <w:szCs w:val="20"/>
          <w:color w:val="auto"/>
        </w:rPr>
      </w:pPr>
    </w:p>
    <w:p>
      <w:pPr>
        <w:ind w:left="20" w:right="180"/>
        <w:spacing w:after="0" w:line="264" w:lineRule="auto"/>
        <w:rPr>
          <w:sz w:val="20"/>
          <w:szCs w:val="20"/>
          <w:color w:val="auto"/>
        </w:rPr>
      </w:pPr>
      <w:r>
        <w:rPr>
          <w:rFonts w:ascii="Times New Roman" w:cs="Times New Roman" w:eastAsia="Times New Roman" w:hAnsi="Times New Roman"/>
          <w:sz w:val="14"/>
          <w:szCs w:val="14"/>
          <w:color w:val="auto"/>
        </w:rPr>
        <w:t>On June 7, 2024, the Company entered into a Share Purchase Agreement ("Pagefield Agreement") and acquired the stock of Pagefield Communications Limited ("Pagefield") from the owners of Pagefield (“Seller” or “Sellers”) through the creation of a wholly-owned subsidiary, PPHC International Ltd. ("PPHC LTD"). At the closing of the transaction, the Company paid the Sellers cash in the amount of 15.0 million GBP, which was approximately $19.2 million USD ("Pagefield Closing Cash Payment") and issued 179,528 shares of the Company's common stock ("Pagefield Closing Share Payment") to Sellers at an aggregate fair value of approximately $1.4 million.</w:t>
      </w:r>
    </w:p>
    <w:p>
      <w:pPr>
        <w:spacing w:after="0" w:line="98" w:lineRule="exact"/>
        <w:rPr>
          <w:sz w:val="20"/>
          <w:szCs w:val="20"/>
          <w:color w:val="auto"/>
        </w:rPr>
      </w:pPr>
    </w:p>
    <w:p>
      <w:pPr>
        <w:ind w:left="20" w:right="160"/>
        <w:spacing w:after="0" w:line="270" w:lineRule="auto"/>
        <w:rPr>
          <w:sz w:val="20"/>
          <w:szCs w:val="20"/>
          <w:color w:val="auto"/>
        </w:rPr>
      </w:pPr>
      <w:r>
        <w:rPr>
          <w:rFonts w:ascii="Times New Roman" w:cs="Times New Roman" w:eastAsia="Times New Roman" w:hAnsi="Times New Roman"/>
          <w:sz w:val="14"/>
          <w:szCs w:val="14"/>
          <w:color w:val="auto"/>
        </w:rPr>
        <w:t>In addition, there are additional contingent payments that the Sellers can earn in the future depending on certain operating results that are achieved. The total additional amount of consideration that the Company could be required to pay to the Sellers is up to 13.8 million GBP, which includes up to 8.8 million GBP subject to future vesting and clawback provisions. The additional contingent consideration combined with the closing payments already made could require total payments of up to 30.0 million GBP to the Sellers.</w:t>
      </w:r>
    </w:p>
    <w:p>
      <w:pPr>
        <w:spacing w:after="0" w:line="93" w:lineRule="exact"/>
        <w:rPr>
          <w:sz w:val="20"/>
          <w:szCs w:val="20"/>
          <w:color w:val="auto"/>
        </w:rPr>
      </w:pPr>
    </w:p>
    <w:p>
      <w:pPr>
        <w:ind w:left="20" w:right="60"/>
        <w:spacing w:after="0" w:line="261" w:lineRule="auto"/>
        <w:rPr>
          <w:sz w:val="20"/>
          <w:szCs w:val="20"/>
          <w:color w:val="auto"/>
        </w:rPr>
      </w:pPr>
      <w:r>
        <w:rPr>
          <w:rFonts w:ascii="Times New Roman" w:cs="Times New Roman" w:eastAsia="Times New Roman" w:hAnsi="Times New Roman"/>
          <w:sz w:val="14"/>
          <w:szCs w:val="14"/>
          <w:color w:val="auto"/>
        </w:rPr>
        <w:t>The Pagefield Agreement provides certain vesting and forfeiture provisions applicable to a portion of the future cash or share payments owed. These provisions are specifically designated toward the continued employment of one of the Sellers ("Restricted Owner"). The Restricted Owner is required to remain employed by the Company for a certain period of time to receive the full amount of those future payments. There are certain exceptions to the forfeiture provisions if termination of employment occurs under certain permitted events ("Pagefield Acceleration Event") as defined in the Pagefield Agreement. If the Restricted Owner's employment is terminated as a result of a Pagefield Acceleration Event, a percentage of the unvested Restricted Owner Shares shall become fully vested.</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280" w:top="123"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Reasons for the acquisition</w:t>
      </w:r>
    </w:p>
    <w:p>
      <w:pPr>
        <w:spacing w:after="0" w:line="138"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The Company acquired Pagefield to expand the geographic scope of its consulting services. Specifically, Pagefield provides services to companies and organizations doing business in the United Kingdom ("UK") while interacting with the UK government.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Purchase consideration</w:t>
      </w:r>
    </w:p>
    <w:p>
      <w:pPr>
        <w:spacing w:after="0" w:line="138"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The Company determined that certain consideration provided to Pagefield in the Pagefield Agreement does not qualify as purchase consideration in accordance with the guidance of ASC 805. The Company determined that the purchase consideration consists of the amount of cash and share payments owed to Pagefield that are not subject to a vesting or claw back provision that is directly linked to the continued employment of one of the Sellers. The total purchase consideration consisted of the following amounts: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Pagefield Closing Cash Payment</w:t>
            </w:r>
          </w:p>
        </w:tc>
        <w:tc>
          <w:tcPr>
            <w:tcW w:w="462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19,209</w:t>
            </w:r>
          </w:p>
        </w:tc>
      </w:tr>
      <w:tr>
        <w:trPr>
          <w:trHeight w:val="183"/>
        </w:trPr>
        <w:tc>
          <w:tcPr>
            <w:tcW w:w="5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Pagefield Closing Share Payment</w:t>
            </w:r>
          </w:p>
        </w:tc>
        <w:tc>
          <w:tcPr>
            <w:tcW w:w="46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1,443</w:t>
            </w:r>
          </w:p>
        </w:tc>
      </w:tr>
      <w:tr>
        <w:trPr>
          <w:trHeight w:val="191"/>
        </w:trPr>
        <w:tc>
          <w:tcPr>
            <w:tcW w:w="5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Contingent consideration</w:t>
            </w:r>
          </w:p>
        </w:tc>
        <w:tc>
          <w:tcPr>
            <w:tcW w:w="46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3,403</w:t>
            </w:r>
          </w:p>
        </w:tc>
      </w:tr>
      <w:tr>
        <w:trPr>
          <w:trHeight w:val="182"/>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purchase consideration</w:t>
            </w:r>
          </w:p>
        </w:tc>
        <w:tc>
          <w:tcPr>
            <w:tcW w:w="46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24,056</w:t>
            </w:r>
          </w:p>
        </w:tc>
      </w:tr>
    </w:tbl>
    <w:p>
      <w:pPr>
        <w:spacing w:after="0" w:line="187"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The contingent consideration allocated as purchase consideration consists of the amount of the estimated fair value of the projected future payments that are not subject to vesting or claw back provisions tied to continued employment.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Purchase price allocation</w:t>
      </w:r>
    </w:p>
    <w:p>
      <w:pPr>
        <w:spacing w:after="0" w:line="138"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The allocation of the purchase consideration resulted in the following amounts being allocated to the assets acquired and liabilities assumed as of the purchase date of June 7, 2024, based on their respective estimated fair values is summarized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acquired</w:t>
            </w:r>
          </w:p>
        </w:tc>
        <w:tc>
          <w:tcPr>
            <w:tcW w:w="442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1,055</w:t>
            </w:r>
          </w:p>
        </w:tc>
      </w:tr>
      <w:tr>
        <w:trPr>
          <w:trHeight w:val="183"/>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Contract receivables</w:t>
            </w:r>
          </w:p>
        </w:tc>
        <w:tc>
          <w:tcPr>
            <w:tcW w:w="4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w:t>
            </w:r>
          </w:p>
        </w:tc>
      </w:tr>
      <w:tr>
        <w:trPr>
          <w:trHeight w:val="19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current assets</w:t>
            </w:r>
          </w:p>
        </w:tc>
        <w:tc>
          <w:tcPr>
            <w:tcW w:w="4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2,260</w:t>
            </w:r>
          </w:p>
        </w:tc>
      </w:tr>
      <w:tr>
        <w:trPr>
          <w:trHeight w:val="183"/>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and equipment</w:t>
            </w:r>
          </w:p>
        </w:tc>
        <w:tc>
          <w:tcPr>
            <w:tcW w:w="4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9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4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5,184</w:t>
            </w:r>
          </w:p>
        </w:tc>
      </w:tr>
      <w:tr>
        <w:trPr>
          <w:trHeight w:val="183"/>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Tradename</w:t>
            </w:r>
          </w:p>
        </w:tc>
        <w:tc>
          <w:tcPr>
            <w:tcW w:w="4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1,549</w:t>
            </w:r>
          </w:p>
        </w:tc>
      </w:tr>
      <w:tr>
        <w:trPr>
          <w:trHeight w:val="19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Noncompete agreements</w:t>
            </w:r>
          </w:p>
        </w:tc>
        <w:tc>
          <w:tcPr>
            <w:tcW w:w="4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954</w:t>
            </w:r>
          </w:p>
        </w:tc>
      </w:tr>
      <w:tr>
        <w:trPr>
          <w:trHeight w:val="183"/>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4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(2,721)</w:t>
            </w:r>
          </w:p>
        </w:tc>
      </w:tr>
      <w:tr>
        <w:trPr>
          <w:trHeight w:val="19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4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w:t>
            </w:r>
          </w:p>
        </w:tc>
      </w:tr>
      <w:tr>
        <w:trPr>
          <w:trHeight w:val="183"/>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Deferred income tax liability</w:t>
            </w:r>
          </w:p>
        </w:tc>
        <w:tc>
          <w:tcPr>
            <w:tcW w:w="4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(1,701)</w:t>
            </w:r>
          </w:p>
        </w:tc>
      </w:tr>
      <w:tr>
        <w:trPr>
          <w:trHeight w:val="18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assets acquired</w:t>
            </w:r>
          </w:p>
        </w:tc>
        <w:tc>
          <w:tcPr>
            <w:tcW w:w="4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7,276</w:t>
            </w:r>
          </w:p>
        </w:tc>
      </w:tr>
      <w:tr>
        <w:trPr>
          <w:trHeight w:val="183"/>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Less estimated purchase price</w:t>
            </w:r>
          </w:p>
        </w:tc>
        <w:tc>
          <w:tcPr>
            <w:tcW w:w="4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(24,056)</w:t>
            </w:r>
          </w:p>
        </w:tc>
      </w:tr>
      <w:tr>
        <w:trPr>
          <w:trHeight w:val="189"/>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Goodwill</w:t>
            </w:r>
            <w:r>
              <w:rPr>
                <w:rFonts w:ascii="Times New Roman" w:cs="Times New Roman" w:eastAsia="Times New Roman" w:hAnsi="Times New Roman"/>
                <w:sz w:val="16"/>
                <w:szCs w:val="16"/>
                <w:b w:val="1"/>
                <w:bCs w:val="1"/>
                <w:color w:val="auto"/>
                <w:vertAlign w:val="superscript"/>
              </w:rPr>
              <w:t>(1)</w:t>
            </w:r>
          </w:p>
        </w:tc>
        <w:tc>
          <w:tcPr>
            <w:tcW w:w="442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(16,779)</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133" w:lineRule="exact"/>
        <w:rPr>
          <w:sz w:val="20"/>
          <w:szCs w:val="20"/>
          <w:color w:val="auto"/>
        </w:rPr>
      </w:pPr>
    </w:p>
    <w:p>
      <w:pPr>
        <w:ind w:left="260" w:hanging="255"/>
        <w:spacing w:after="0"/>
        <w:tabs>
          <w:tab w:leader="none" w:pos="260" w:val="left"/>
        </w:tabs>
        <w:numPr>
          <w:ilvl w:val="0"/>
          <w:numId w:val="3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the exchange rate in effect at the acquisition date</w:t>
      </w:r>
    </w:p>
    <w:p>
      <w:pPr>
        <w:spacing w:after="0" w:line="13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fair value of customer relationships was determined using the income approach, which requires management to estimate a number of factors for each reporting unit, including projected future operating results and discount rates. The fair value of noncompete agreements was determined using an income approach method, which requires management to estimate a number of factors related to the expected future cash flows of Pagefield and the potential impact and probability of competition, assuming such noncompete agreements were not in place. The weighted average amortization period for customer relationships is seven years, and noncompete agreements is three years.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fair value of the contingent consideration was performed using Monte Carlo simulations to estimate the achievement and amount of certain future operating results. The Monte Carlo simulations utilize estimates including; expected volatility of future operating results, discount rates applicable to future results, and expected growth rates. The table below provides the significant inputs to the calculation of the contingent consideration as of the acquisition date: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Significant Input</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Range</w:t>
            </w:r>
          </w:p>
        </w:tc>
      </w:tr>
      <w:tr>
        <w:trPr>
          <w:trHeight w:val="189"/>
        </w:trPr>
        <w:tc>
          <w:tcPr>
            <w:tcW w:w="9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Discount rate for credit risk and time value</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5.3% to 5.9%</w:t>
            </w:r>
          </w:p>
        </w:tc>
      </w:tr>
      <w:tr>
        <w:trPr>
          <w:trHeight w:val="183"/>
        </w:trPr>
        <w:tc>
          <w:tcPr>
            <w:tcW w:w="9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Discount rate for future profit after tax</w:t>
            </w: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12.0% to 12.4%</w:t>
            </w:r>
          </w:p>
        </w:tc>
      </w:tr>
      <w:tr>
        <w:trPr>
          <w:trHeight w:val="199"/>
        </w:trPr>
        <w:tc>
          <w:tcPr>
            <w:tcW w:w="9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Expected volatility of future annual profit after tax</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34.0% to 37.0%</w:t>
            </w:r>
          </w:p>
        </w:tc>
      </w:tr>
      <w:tr>
        <w:trPr>
          <w:trHeight w:val="176"/>
        </w:trPr>
        <w:tc>
          <w:tcPr>
            <w:tcW w:w="9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Forecasted growth rate</w:t>
            </w: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9.1% to 9.5%</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Supplemental Unaudited Pro Forma Financial Information</w:t>
      </w:r>
    </w:p>
    <w:p>
      <w:pPr>
        <w:spacing w:after="0" w:line="138"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The unaudited pro forma information for the periods set forth below gives effect to the business acquisitions that occurred during the year ended December 31, 2024 (Pagefield and Lucas), as if they occurred as of January 1, 2023. The pro forma financial information is presented for informational purposes only and is not necessarily indicative of the results of operations that actually would have been achieved had the acquisition been consummated as of that time. Pro forma revenue and net income amounts are as follows for the years ended December 31, 2024 and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154,552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149,884</w:t>
            </w:r>
          </w:p>
        </w:tc>
      </w:tr>
      <w:tr>
        <w:trPr>
          <w:trHeight w:val="176"/>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ind w:left="680"/>
              <w:spacing w:after="0"/>
              <w:rPr>
                <w:sz w:val="20"/>
                <w:szCs w:val="20"/>
                <w:color w:val="auto"/>
              </w:rPr>
            </w:pPr>
            <w:r>
              <w:rPr>
                <w:rFonts w:ascii="Times New Roman" w:cs="Times New Roman" w:eastAsia="Times New Roman" w:hAnsi="Times New Roman"/>
                <w:sz w:val="13"/>
                <w:szCs w:val="13"/>
                <w:color w:val="auto"/>
                <w:w w:val="98"/>
              </w:rPr>
              <w:t>(22,900)</w:t>
            </w:r>
          </w:p>
        </w:tc>
        <w:tc>
          <w:tcPr>
            <w:tcW w:w="80" w:type="dxa"/>
            <w:vAlign w:val="bottom"/>
          </w:tcPr>
          <w:p>
            <w:pPr>
              <w:spacing w:after="0"/>
              <w:rPr>
                <w:sz w:val="15"/>
                <w:szCs w:val="15"/>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ind w:left="680"/>
              <w:spacing w:after="0"/>
              <w:rPr>
                <w:sz w:val="20"/>
                <w:szCs w:val="20"/>
                <w:color w:val="auto"/>
              </w:rPr>
            </w:pPr>
            <w:r>
              <w:rPr>
                <w:rFonts w:ascii="Times New Roman" w:cs="Times New Roman" w:eastAsia="Times New Roman" w:hAnsi="Times New Roman"/>
                <w:sz w:val="13"/>
                <w:szCs w:val="13"/>
                <w:color w:val="auto"/>
                <w:w w:val="98"/>
              </w:rPr>
              <w:t>(12,409)</w:t>
            </w:r>
          </w:p>
        </w:tc>
      </w:tr>
    </w:tbl>
    <w:p>
      <w:pPr>
        <w:spacing w:after="0" w:line="20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Revenue attributable to LPA and Pagefield, included within the consolidated statements of operations for the year ended December 31, 2024, was $7.8 million. Net income attributable to Lucas and Pagefield, included within the consolidated statements of operations for the year ended December 31, 2024, was $2.9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TrailRunner</w:t>
      </w:r>
    </w:p>
    <w:p>
      <w:pPr>
        <w:spacing w:after="0" w:line="138"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On January 24, 2025, the Company entered into a binding agreement ("TrailRunner Agreement") to acquire TrailRunner International LLC and its wholly-owned subsidiaries (collectively, the “TrailRunner Seller” or "TrailRunner"), a Texas headquartered global strategic communications advisory firm. At the closing of the transaction, the Company agreed to pay the TrailRunner Seller cash in the amount of approximately $28.2 million and issue 593,228 shares of the Company’s common stock to the TrailRunner Seller at an aggregate fair value of approximately $5.2 million.</w:t>
      </w:r>
    </w:p>
    <w:p>
      <w:pPr>
        <w:spacing w:after="0" w:line="93" w:lineRule="exact"/>
        <w:rPr>
          <w:sz w:val="20"/>
          <w:szCs w:val="20"/>
          <w:color w:val="auto"/>
        </w:rPr>
      </w:pPr>
    </w:p>
    <w:p>
      <w:pPr>
        <w:jc w:val="both"/>
        <w:ind w:right="480"/>
        <w:spacing w:after="0" w:line="270" w:lineRule="auto"/>
        <w:rPr>
          <w:sz w:val="20"/>
          <w:szCs w:val="20"/>
          <w:color w:val="auto"/>
        </w:rPr>
      </w:pPr>
      <w:r>
        <w:rPr>
          <w:rFonts w:ascii="Times New Roman" w:cs="Times New Roman" w:eastAsia="Times New Roman" w:hAnsi="Times New Roman"/>
          <w:sz w:val="14"/>
          <w:szCs w:val="14"/>
          <w:color w:val="auto"/>
        </w:rPr>
        <w:t>In addition, there are additional contingent payments that the TrailRunner Seller can earn in the future depending on certain operating results that are achieved. The total additional amount of consideration that the Company could be required to pay to the TrailRunner Seller is $37.0 million. Although the Company remitted the funds to the TrailRunner Seller on March 31 2025, the effective date of the transaction was April 1,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Reasons for the acquisition</w:t>
      </w:r>
    </w:p>
    <w:p>
      <w:pPr>
        <w:spacing w:after="0" w:line="138"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Company acquired TrailRunner to expand the Company's ability to provide a distinct suite of corporate communication capabilities and enhance its global footprint. TrailRunner has eight office locations across the United States, United Kingdom, Middle East, and Asia.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for the acquisition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acquisition of TrailRunner was accounted for as a business combination and reflects the application of acquisition accounting in accordance with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("ASC 805").</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acquired assets, including identifiable intangible assets and liabilities assumed, have been recorded at their estimated fair values.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Purchase consideration</w:t>
      </w:r>
    </w:p>
    <w:p>
      <w:pPr>
        <w:spacing w:after="0" w:line="138"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Company determined that certain consideration provided to TrailRunner does not qualify as purchase consideration in accordance with the guidance of ASC 805. The Company determined that the purchase consideration consists of the amount of cash and share payments owed to TrailRunner that are not subject to a vesting or claw back</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120" w:type="dxa"/>
            <w:vAlign w:val="bottom"/>
          </w:tcPr>
          <w:p>
            <w:pPr>
              <w:jc w:val="center"/>
              <w:ind w:left="2092"/>
              <w:spacing w:after="0"/>
              <w:rPr>
                <w:sz w:val="20"/>
                <w:szCs w:val="20"/>
                <w:color w:val="auto"/>
              </w:rPr>
            </w:pPr>
            <w:r>
              <w:rPr>
                <w:rFonts w:ascii="Times New Roman" w:cs="Times New Roman" w:eastAsia="Times New Roman" w:hAnsi="Times New Roman"/>
                <w:sz w:val="16"/>
                <w:szCs w:val="16"/>
                <w:b w:val="1"/>
                <w:bCs w:val="1"/>
                <w:color w:val="auto"/>
                <w:w w:val="96"/>
              </w:rPr>
              <w:t>PUBLIC POLICY HOLDING COMPANY, INC. AND SUBSIDIARIES</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91"/>
        </w:trPr>
        <w:tc>
          <w:tcPr>
            <w:tcW w:w="9120" w:type="dxa"/>
            <w:vAlign w:val="bottom"/>
          </w:tcPr>
          <w:p>
            <w:pPr>
              <w:jc w:val="center"/>
              <w:ind w:left="2112"/>
              <w:spacing w:after="0"/>
              <w:rPr>
                <w:sz w:val="20"/>
                <w:szCs w:val="20"/>
                <w:color w:val="auto"/>
              </w:rPr>
            </w:pPr>
            <w:r>
              <w:rPr>
                <w:rFonts w:ascii="Times New Roman" w:cs="Times New Roman" w:eastAsia="Times New Roman" w:hAnsi="Times New Roman"/>
                <w:sz w:val="14"/>
                <w:szCs w:val="14"/>
                <w:b w:val="1"/>
                <w:bCs w:val="1"/>
                <w:color w:val="auto"/>
                <w:w w:val="99"/>
              </w:rPr>
              <w:t>NOTES TO CONSOLIDATED FINANCIAL STATEMENTS</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9120" w:type="dxa"/>
            <w:vAlign w:val="bottom"/>
          </w:tcPr>
          <w:p>
            <w:pPr>
              <w:jc w:val="center"/>
              <w:ind w:left="2092"/>
              <w:spacing w:after="0"/>
              <w:rPr>
                <w:sz w:val="20"/>
                <w:szCs w:val="20"/>
                <w:color w:val="auto"/>
              </w:rPr>
            </w:pPr>
            <w:r>
              <w:rPr>
                <w:rFonts w:ascii="Times New Roman" w:cs="Times New Roman" w:eastAsia="Times New Roman" w:hAnsi="Times New Roman"/>
                <w:sz w:val="13"/>
                <w:szCs w:val="13"/>
                <w:b w:val="1"/>
                <w:bCs w:val="1"/>
                <w:color w:val="auto"/>
                <w:w w:val="97"/>
              </w:rPr>
              <w:t>(Amounts in thousands, except share and per share data)</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492"/>
        </w:trPr>
        <w:tc>
          <w:tcPr>
            <w:tcW w:w="9120" w:type="dxa"/>
            <w:vAlign w:val="bottom"/>
          </w:tcPr>
          <w:p>
            <w:pPr>
              <w:spacing w:after="0"/>
              <w:rPr>
                <w:sz w:val="20"/>
                <w:szCs w:val="20"/>
                <w:color w:val="auto"/>
              </w:rPr>
            </w:pPr>
            <w:r>
              <w:rPr>
                <w:rFonts w:ascii="Times New Roman" w:cs="Times New Roman" w:eastAsia="Times New Roman" w:hAnsi="Times New Roman"/>
                <w:sz w:val="14"/>
                <w:szCs w:val="14"/>
                <w:color w:val="auto"/>
              </w:rPr>
              <w:t>provision that is directly linked to the continued employment of the TrailRunner Seller. The total purchase consideration consisted of the following amounts:</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49"/>
        </w:trPr>
        <w:tc>
          <w:tcPr>
            <w:tcW w:w="9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70"/>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paid</w:t>
            </w:r>
          </w:p>
        </w:tc>
        <w:tc>
          <w:tcPr>
            <w:tcW w:w="104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18,607</w:t>
            </w:r>
          </w:p>
        </w:tc>
      </w:tr>
      <w:tr>
        <w:trPr>
          <w:trHeight w:val="168"/>
        </w:trPr>
        <w:tc>
          <w:tcPr>
            <w:tcW w:w="9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Common stock issued</w:t>
            </w:r>
          </w:p>
        </w:tc>
        <w:tc>
          <w:tcPr>
            <w:tcW w:w="10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1,190</w:t>
            </w:r>
          </w:p>
        </w:tc>
      </w:tr>
      <w:tr>
        <w:trPr>
          <w:trHeight w:val="161"/>
        </w:trPr>
        <w:tc>
          <w:tcPr>
            <w:tcW w:w="9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4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19,797</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Purchase price allocation</w:t>
      </w:r>
    </w:p>
    <w:p>
      <w:pPr>
        <w:spacing w:after="0" w:line="13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recognized a bargain purchase gain of $1.3 million in connection with the acquisition of TrailRunner, representing the excess of the fair value of identifiable net assets acquired over the aggregate amount transferred. In accordance with ASC 805 - business combinations, the Company reassessed the identification and measurement of the assets acquired and liabilities assumed prior to recognizing the gain. The primary factors that contributed to the gain on bargain purchase recognized from the TrailRunner acquisition include the requirement for the key employees of TrailRunner to stay employees of the Company for a significant period of time. The purchase price allocation was finalized as of December 31, 2025.</w:t>
      </w:r>
    </w:p>
    <w:p>
      <w:pPr>
        <w:spacing w:after="0" w:line="98"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The allocation of the purchase consideration resulted in the following amounts being allocated to the assets acquired and liabilities assumed as of the purchase date of April 1, 2025, based on their respective estimated fair values is summarized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Cash acquired</w:t>
            </w:r>
          </w:p>
        </w:tc>
        <w:tc>
          <w:tcPr>
            <w:tcW w:w="440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68"/>
        </w:trPr>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Accounts receivable</w:t>
            </w:r>
          </w:p>
        </w:tc>
        <w:tc>
          <w:tcPr>
            <w:tcW w:w="44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w:t>
            </w:r>
          </w:p>
        </w:tc>
      </w:tr>
      <w:tr>
        <w:trPr>
          <w:trHeight w:val="172"/>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Other current assets</w:t>
            </w:r>
          </w:p>
        </w:tc>
        <w:tc>
          <w:tcPr>
            <w:tcW w:w="44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r>
      <w:tr>
        <w:trPr>
          <w:trHeight w:val="168"/>
        </w:trPr>
        <w:tc>
          <w:tcPr>
            <w:tcW w:w="57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Property and equipment</w:t>
            </w:r>
          </w:p>
        </w:tc>
        <w:tc>
          <w:tcPr>
            <w:tcW w:w="44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7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Right of use asset</w:t>
            </w:r>
          </w:p>
        </w:tc>
        <w:tc>
          <w:tcPr>
            <w:tcW w:w="44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1,806</w:t>
            </w:r>
          </w:p>
        </w:tc>
      </w:tr>
      <w:tr>
        <w:trPr>
          <w:trHeight w:val="168"/>
        </w:trPr>
        <w:tc>
          <w:tcPr>
            <w:tcW w:w="57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Customer relationships</w:t>
            </w:r>
          </w:p>
        </w:tc>
        <w:tc>
          <w:tcPr>
            <w:tcW w:w="44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7,796</w:t>
            </w:r>
          </w:p>
        </w:tc>
      </w:tr>
      <w:tr>
        <w:trPr>
          <w:trHeight w:val="172"/>
        </w:trPr>
        <w:tc>
          <w:tcPr>
            <w:tcW w:w="5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Tradename</w:t>
            </w:r>
          </w:p>
        </w:tc>
        <w:tc>
          <w:tcPr>
            <w:tcW w:w="44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2,760</w:t>
            </w:r>
          </w:p>
        </w:tc>
      </w:tr>
      <w:tr>
        <w:trPr>
          <w:trHeight w:val="168"/>
        </w:trPr>
        <w:tc>
          <w:tcPr>
            <w:tcW w:w="57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Noncompete agreements</w:t>
            </w:r>
          </w:p>
        </w:tc>
        <w:tc>
          <w:tcPr>
            <w:tcW w:w="44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w:t>
            </w:r>
          </w:p>
        </w:tc>
      </w:tr>
      <w:tr>
        <w:trPr>
          <w:trHeight w:val="172"/>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Deferred tax asset</w:t>
            </w:r>
          </w:p>
        </w:tc>
        <w:tc>
          <w:tcPr>
            <w:tcW w:w="44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9,118</w:t>
            </w:r>
          </w:p>
        </w:tc>
      </w:tr>
      <w:tr>
        <w:trPr>
          <w:trHeight w:val="168"/>
        </w:trPr>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44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w:t>
            </w:r>
          </w:p>
        </w:tc>
      </w:tr>
      <w:tr>
        <w:trPr>
          <w:trHeight w:val="170"/>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liability</w:t>
            </w:r>
          </w:p>
        </w:tc>
        <w:tc>
          <w:tcPr>
            <w:tcW w:w="44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(1,806)</w:t>
            </w:r>
          </w:p>
        </w:tc>
      </w:tr>
      <w:tr>
        <w:trPr>
          <w:trHeight w:val="160"/>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assets acquired</w:t>
            </w:r>
          </w:p>
        </w:tc>
        <w:tc>
          <w:tcPr>
            <w:tcW w:w="44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21,130</w:t>
            </w:r>
          </w:p>
        </w:tc>
      </w:tr>
      <w:tr>
        <w:trPr>
          <w:trHeight w:val="170"/>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estimated purchase price</w:t>
            </w:r>
          </w:p>
        </w:tc>
        <w:tc>
          <w:tcPr>
            <w:tcW w:w="44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(19,797)</w:t>
            </w:r>
          </w:p>
        </w:tc>
      </w:tr>
      <w:tr>
        <w:trPr>
          <w:trHeight w:val="161"/>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Gain on bargain purchase</w:t>
            </w:r>
          </w:p>
        </w:tc>
        <w:tc>
          <w:tcPr>
            <w:tcW w:w="44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1,333</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the identified definite-lived intangible assets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Definite-lived</w:t>
            </w:r>
          </w:p>
        </w:tc>
        <w:tc>
          <w:tcPr>
            <w:tcW w:w="2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Weighted-average useful life</w:t>
            </w:r>
          </w:p>
        </w:tc>
        <w:tc>
          <w:tcPr>
            <w:tcW w:w="4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62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intangible assets</w:t>
            </w:r>
          </w:p>
        </w:tc>
        <w:tc>
          <w:tcPr>
            <w:tcW w:w="2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(in years)</w:t>
            </w:r>
          </w:p>
        </w:tc>
        <w:tc>
          <w:tcPr>
            <w:tcW w:w="460" w:type="dxa"/>
            <w:vAlign w:val="bottom"/>
          </w:tcPr>
          <w:p>
            <w:pPr>
              <w:spacing w:after="0"/>
              <w:rPr>
                <w:sz w:val="14"/>
                <w:szCs w:val="14"/>
                <w:color w:val="auto"/>
              </w:rPr>
            </w:pPr>
          </w:p>
        </w:tc>
        <w:tc>
          <w:tcPr>
            <w:tcW w:w="1660" w:type="dxa"/>
            <w:vAlign w:val="bottom"/>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63"/>
        </w:trPr>
        <w:tc>
          <w:tcPr>
            <w:tcW w:w="6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relationship</w:t>
            </w:r>
          </w:p>
        </w:tc>
        <w:tc>
          <w:tcPr>
            <w:tcW w:w="140" w:type="dxa"/>
            <w:vAlign w:val="bottom"/>
            <w:tcBorders>
              <w:top w:val="single" w:sz="8" w:color="CCEEFF"/>
            </w:tcBorders>
            <w:shd w:val="clear" w:color="auto" w:fill="CCEEFF"/>
          </w:tcPr>
          <w:p>
            <w:pPr>
              <w:spacing w:after="0"/>
              <w:rPr>
                <w:sz w:val="14"/>
                <w:szCs w:val="14"/>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7.0</w:t>
            </w:r>
          </w:p>
        </w:tc>
        <w:tc>
          <w:tcPr>
            <w:tcW w:w="1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7,796</w:t>
            </w:r>
          </w:p>
        </w:tc>
      </w:tr>
      <w:tr>
        <w:trPr>
          <w:trHeight w:val="165"/>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Noncompete agreements</w:t>
            </w:r>
          </w:p>
        </w:tc>
        <w:tc>
          <w:tcPr>
            <w:tcW w:w="2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5.0</w:t>
            </w:r>
          </w:p>
        </w:tc>
        <w:tc>
          <w:tcPr>
            <w:tcW w:w="180" w:type="dxa"/>
            <w:vAlign w:val="bottom"/>
          </w:tcPr>
          <w:p>
            <w:pPr>
              <w:spacing w:after="0"/>
              <w:rPr>
                <w:sz w:val="14"/>
                <w:szCs w:val="14"/>
                <w:color w:val="auto"/>
              </w:rPr>
            </w:pPr>
          </w:p>
        </w:tc>
        <w:tc>
          <w:tcPr>
            <w:tcW w:w="460" w:type="dxa"/>
            <w:vAlign w:val="bottom"/>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w:t>
            </w:r>
          </w:p>
        </w:tc>
      </w:tr>
    </w:tbl>
    <w:p>
      <w:pPr>
        <w:spacing w:after="0" w:line="18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fair value of customer relationships was determined using the income approach, which requires management to estimate a number of factors for each reporting unit, including projected future operating results and discount rates. The fair value of the trade names was determined using the relief from royalty method. The fair value of noncompete agreements was determined using an income approach method, which requires management to estimate a number of factors related to the expected future cash flows of TrailRunner and the potential impact and probability of competition, assuming such noncompete agreements were not in place.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Pine Cove</w:t>
      </w:r>
    </w:p>
    <w:p>
      <w:pPr>
        <w:spacing w:after="0" w:line="138"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On July 11, 2025, the Company entered into an Asset Purchase Agreement (“APA”) with Pine Cove Capital, LLC, a strategic advisory and government relations business serving clients in technology, energy, digital health, and financial services. The transaction was structured as an asset purchase, with Purchaser acquiring substantially all operating assets of Seller, including tangible assets, intellectual property, client contracts, and goodwill, while assuming certain specified liabilities. At the closing of the transaction, the Company agreed to pay the Pine Cove Seller cash in the amount of approximately $2.6 million and issue 42,829 shares of the Company’s common stock to the Pine Cove Seller at an aggregate fair value of approximately $0.5 million.</w:t>
      </w:r>
    </w:p>
    <w:p>
      <w:pPr>
        <w:spacing w:after="0" w:line="98"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In addition, there are additional contingent payments that the Pine Cove Seller can earn in the future depending on certain operating results that are achieved. The total additional amount of consideration that the Company could be required to pay to the Pine Cove Seller is $10.0 million. The transaction closed effective August 1, 2025 (the “Closing Date” or “Acquisition Date”).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Reasons for the acquisition</w:t>
      </w:r>
    </w:p>
    <w:p>
      <w:pPr>
        <w:spacing w:after="0" w:line="138"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The Company acquired Pine Cove to continue the Company's expansion into certain key US state capitals, complementing the Company’s federal capabilities with best-in-class local market expertise. Texas, as one of the largest state economies and most consequential for public policy activities, has long been a stated priority for local government relations expansion.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for the acquisition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acquisition of Pine Cove was accounted for as a business combination and reflects the application of acquisition accounting in accordance with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("ASC 805").</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acquired assets, including identifiable intangible assets and liabilities assumed, have been recorded at their estimated fair values.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Purchase consideration</w:t>
      </w:r>
    </w:p>
    <w:p>
      <w:pPr>
        <w:spacing w:after="0" w:line="13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Company determined that certain consideration provided to Pine Cove does not qualify as purchase consideration in accordance with the guidance of ASC 805. The Company determined that the purchase consideration consists of the amount of cash and share payments owed to Pine Cove that are not subject to a vesting or claw back provision that is directly linked to the continued employment of the Pine Cove Seller. The total purchase consideration consisted of the following amounts: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paid</w:t>
            </w:r>
          </w:p>
        </w:tc>
        <w:tc>
          <w:tcPr>
            <w:tcW w:w="492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2,550</w:t>
            </w:r>
          </w:p>
        </w:tc>
      </w:tr>
      <w:tr>
        <w:trPr>
          <w:trHeight w:val="168"/>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Common stock issued</w:t>
            </w:r>
          </w:p>
        </w:tc>
        <w:tc>
          <w:tcPr>
            <w:tcW w:w="49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61"/>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9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2,645</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Purchase price allocation</w:t>
      </w:r>
    </w:p>
    <w:p>
      <w:pPr>
        <w:spacing w:after="0" w:line="13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Company recognized a bargain purchase gain of $0.7 million in connection with the acquisition of Pine Cove, representing the excess of the fair value of identifiable net assets acquired over the aggregate amount transferred. In accordance with ASC 805 - business combinations, the Company reassessed the identification and measurement of the assets acquired and liabilities assumed prior to recognizing the gain. The primary factors that contributed to the gain on bargain purchase recognized from the Pine Cove acquisition include the requirement for the key employees of Pine Cove to stay employees of the Company for a significant period of time. The purchase price allocation was finalized as of December 31, 2025.</w:t>
      </w:r>
    </w:p>
    <w:p>
      <w:pPr>
        <w:spacing w:after="0" w:line="98"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allocation of the purchase consideration resulted in the following amounts being allocated to the assets acquired and liabilities assumed as of the purchase date of August 1, 2025, based on their respective estimated fair values is summarized below:</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020" w:type="dxa"/>
            <w:vAlign w:val="bottom"/>
            <w:gridSpan w:val="5"/>
          </w:tcPr>
          <w:p>
            <w:pPr>
              <w:jc w:val="center"/>
              <w:ind w:left="2195"/>
              <w:spacing w:after="0"/>
              <w:rPr>
                <w:sz w:val="20"/>
                <w:szCs w:val="20"/>
                <w:color w:val="auto"/>
              </w:rPr>
            </w:pPr>
            <w:r>
              <w:rPr>
                <w:rFonts w:ascii="Times New Roman" w:cs="Times New Roman" w:eastAsia="Times New Roman" w:hAnsi="Times New Roman"/>
                <w:sz w:val="16"/>
                <w:szCs w:val="16"/>
                <w:b w:val="1"/>
                <w:bCs w:val="1"/>
                <w:color w:val="auto"/>
                <w:w w:val="96"/>
              </w:rPr>
              <w:t>PUBLIC POLICY HOLDING COMPANY, INC. AND SUBSIDIARIES</w:t>
            </w:r>
          </w:p>
        </w:tc>
        <w:tc>
          <w:tcPr>
            <w:tcW w:w="5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91"/>
        </w:trPr>
        <w:tc>
          <w:tcPr>
            <w:tcW w:w="3660" w:type="dxa"/>
            <w:vAlign w:val="bottom"/>
          </w:tcPr>
          <w:p>
            <w:pPr>
              <w:spacing w:after="0"/>
              <w:rPr>
                <w:sz w:val="24"/>
                <w:szCs w:val="24"/>
                <w:color w:val="auto"/>
              </w:rPr>
            </w:pPr>
          </w:p>
        </w:tc>
        <w:tc>
          <w:tcPr>
            <w:tcW w:w="5360" w:type="dxa"/>
            <w:vAlign w:val="bottom"/>
            <w:gridSpan w:val="4"/>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w w:val="99"/>
              </w:rPr>
              <w:t>NOTES TO CONSOLIDATED FINANCIAL STATEMENTS</w:t>
            </w: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7"/>
        </w:trPr>
        <w:tc>
          <w:tcPr>
            <w:tcW w:w="3660" w:type="dxa"/>
            <w:vAlign w:val="bottom"/>
          </w:tcPr>
          <w:p>
            <w:pPr>
              <w:spacing w:after="0"/>
              <w:rPr>
                <w:sz w:val="14"/>
                <w:szCs w:val="14"/>
                <w:color w:val="auto"/>
              </w:rPr>
            </w:pPr>
          </w:p>
        </w:tc>
        <w:tc>
          <w:tcPr>
            <w:tcW w:w="5360" w:type="dxa"/>
            <w:vAlign w:val="bottom"/>
            <w:gridSpan w:val="4"/>
          </w:tcPr>
          <w:p>
            <w:pPr>
              <w:jc w:val="center"/>
              <w:ind w:right="1400"/>
              <w:spacing w:after="0"/>
              <w:rPr>
                <w:sz w:val="20"/>
                <w:szCs w:val="20"/>
                <w:color w:val="auto"/>
              </w:rPr>
            </w:pPr>
            <w:r>
              <w:rPr>
                <w:rFonts w:ascii="Times New Roman" w:cs="Times New Roman" w:eastAsia="Times New Roman" w:hAnsi="Times New Roman"/>
                <w:sz w:val="13"/>
                <w:szCs w:val="13"/>
                <w:b w:val="1"/>
                <w:bCs w:val="1"/>
                <w:color w:val="auto"/>
                <w:w w:val="97"/>
              </w:rPr>
              <w:t>(Amounts in thousands, except share and per share data)</w:t>
            </w:r>
          </w:p>
        </w:tc>
        <w:tc>
          <w:tcPr>
            <w:tcW w:w="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44"/>
        </w:trPr>
        <w:tc>
          <w:tcPr>
            <w:tcW w:w="36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0"/>
        </w:trPr>
        <w:tc>
          <w:tcPr>
            <w:tcW w:w="3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Customer relationships</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1,621</w:t>
            </w:r>
          </w:p>
        </w:tc>
        <w:tc>
          <w:tcPr>
            <w:tcW w:w="40" w:type="dxa"/>
            <w:vAlign w:val="bottom"/>
          </w:tcPr>
          <w:p>
            <w:pPr>
              <w:spacing w:after="0"/>
              <w:rPr>
                <w:sz w:val="14"/>
                <w:szCs w:val="14"/>
                <w:color w:val="auto"/>
              </w:rPr>
            </w:pPr>
          </w:p>
        </w:tc>
      </w:tr>
      <w:tr>
        <w:trPr>
          <w:trHeight w:val="168"/>
        </w:trPr>
        <w:tc>
          <w:tcPr>
            <w:tcW w:w="36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Tradename</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40" w:type="dxa"/>
            <w:vAlign w:val="bottom"/>
          </w:tcPr>
          <w:p>
            <w:pPr>
              <w:spacing w:after="0"/>
              <w:rPr>
                <w:sz w:val="14"/>
                <w:szCs w:val="14"/>
                <w:color w:val="auto"/>
              </w:rPr>
            </w:pPr>
          </w:p>
        </w:tc>
      </w:tr>
      <w:tr>
        <w:trPr>
          <w:trHeight w:val="172"/>
        </w:trPr>
        <w:tc>
          <w:tcPr>
            <w:tcW w:w="3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Noncompete agreements</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40" w:type="dxa"/>
            <w:vAlign w:val="bottom"/>
          </w:tcPr>
          <w:p>
            <w:pPr>
              <w:spacing w:after="0"/>
              <w:rPr>
                <w:sz w:val="14"/>
                <w:szCs w:val="14"/>
                <w:color w:val="auto"/>
              </w:rPr>
            </w:pPr>
          </w:p>
        </w:tc>
      </w:tr>
      <w:tr>
        <w:trPr>
          <w:trHeight w:val="168"/>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Deferred tax asset</w:t>
            </w:r>
          </w:p>
        </w:tc>
        <w:tc>
          <w:tcPr>
            <w:tcW w:w="2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1,063</w:t>
            </w:r>
          </w:p>
        </w:tc>
        <w:tc>
          <w:tcPr>
            <w:tcW w:w="40" w:type="dxa"/>
            <w:vAlign w:val="bottom"/>
          </w:tcPr>
          <w:p>
            <w:pPr>
              <w:spacing w:after="0"/>
              <w:rPr>
                <w:sz w:val="14"/>
                <w:szCs w:val="14"/>
                <w:color w:val="auto"/>
              </w:rPr>
            </w:pPr>
          </w:p>
        </w:tc>
      </w:tr>
      <w:tr>
        <w:trPr>
          <w:trHeight w:val="16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assets acquired</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3,354</w:t>
            </w:r>
          </w:p>
        </w:tc>
        <w:tc>
          <w:tcPr>
            <w:tcW w:w="40" w:type="dxa"/>
            <w:vAlign w:val="bottom"/>
          </w:tcPr>
          <w:p>
            <w:pPr>
              <w:spacing w:after="0"/>
              <w:rPr>
                <w:sz w:val="14"/>
                <w:szCs w:val="14"/>
                <w:color w:val="auto"/>
              </w:rPr>
            </w:pPr>
          </w:p>
        </w:tc>
      </w:tr>
      <w:tr>
        <w:trPr>
          <w:trHeight w:val="168"/>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Less estimated purchase price</w:t>
            </w:r>
          </w:p>
        </w:tc>
        <w:tc>
          <w:tcPr>
            <w:tcW w:w="2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(2,645)</w:t>
            </w:r>
          </w:p>
        </w:tc>
        <w:tc>
          <w:tcPr>
            <w:tcW w:w="40" w:type="dxa"/>
            <w:vAlign w:val="bottom"/>
          </w:tcPr>
          <w:p>
            <w:pPr>
              <w:spacing w:after="0"/>
              <w:rPr>
                <w:sz w:val="14"/>
                <w:szCs w:val="14"/>
                <w:color w:val="auto"/>
              </w:rPr>
            </w:pPr>
          </w:p>
        </w:tc>
      </w:tr>
      <w:tr>
        <w:trPr>
          <w:trHeight w:val="161"/>
        </w:trPr>
        <w:tc>
          <w:tcPr>
            <w:tcW w:w="3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Gain on bargain purchase</w:t>
            </w:r>
          </w:p>
        </w:tc>
        <w:tc>
          <w:tcPr>
            <w:tcW w:w="24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7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710</w:t>
            </w:r>
          </w:p>
        </w:tc>
        <w:tc>
          <w:tcPr>
            <w:tcW w:w="40" w:type="dxa"/>
            <w:vAlign w:val="bottom"/>
          </w:tcPr>
          <w:p>
            <w:pPr>
              <w:spacing w:after="0"/>
              <w:rPr>
                <w:sz w:val="14"/>
                <w:szCs w:val="14"/>
                <w:color w:val="auto"/>
              </w:rPr>
            </w:pPr>
          </w:p>
        </w:tc>
      </w:tr>
      <w:tr>
        <w:trPr>
          <w:trHeight w:val="363"/>
        </w:trPr>
        <w:tc>
          <w:tcPr>
            <w:tcW w:w="90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fair value of the identified definite-lived intangible assets was as follows:</w:t>
            </w: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4"/>
        </w:trPr>
        <w:tc>
          <w:tcPr>
            <w:tcW w:w="3660" w:type="dxa"/>
            <w:vAlign w:val="bottom"/>
          </w:tcPr>
          <w:p>
            <w:pPr>
              <w:ind w:left="2700"/>
              <w:spacing w:after="0"/>
              <w:rPr>
                <w:sz w:val="20"/>
                <w:szCs w:val="20"/>
                <w:color w:val="auto"/>
              </w:rPr>
            </w:pPr>
            <w:r>
              <w:rPr>
                <w:rFonts w:ascii="Times New Roman" w:cs="Times New Roman" w:eastAsia="Times New Roman" w:hAnsi="Times New Roman"/>
                <w:sz w:val="13"/>
                <w:szCs w:val="13"/>
                <w:b w:val="1"/>
                <w:bCs w:val="1"/>
                <w:color w:val="auto"/>
              </w:rPr>
              <w:t>Definite-lived</w:t>
            </w: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Weighted-average useful life</w:t>
            </w: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2"/>
        </w:trPr>
        <w:tc>
          <w:tcPr>
            <w:tcW w:w="3660" w:type="dxa"/>
            <w:vAlign w:val="bottom"/>
          </w:tcPr>
          <w:p>
            <w:pPr>
              <w:ind w:left="2620"/>
              <w:spacing w:after="0"/>
              <w:rPr>
                <w:sz w:val="20"/>
                <w:szCs w:val="20"/>
                <w:color w:val="auto"/>
              </w:rPr>
            </w:pPr>
            <w:r>
              <w:rPr>
                <w:rFonts w:ascii="Times New Roman" w:cs="Times New Roman" w:eastAsia="Times New Roman" w:hAnsi="Times New Roman"/>
                <w:sz w:val="13"/>
                <w:szCs w:val="13"/>
                <w:b w:val="1"/>
                <w:bCs w:val="1"/>
                <w:color w:val="auto"/>
              </w:rPr>
              <w:t>intangible assets</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(in years)</w:t>
            </w:r>
          </w:p>
        </w:tc>
        <w:tc>
          <w:tcPr>
            <w:tcW w:w="560" w:type="dxa"/>
            <w:vAlign w:val="bottom"/>
          </w:tcPr>
          <w:p>
            <w:pPr>
              <w:spacing w:after="0"/>
              <w:rPr>
                <w:sz w:val="14"/>
                <w:szCs w:val="14"/>
                <w:color w:val="auto"/>
              </w:rPr>
            </w:pPr>
          </w:p>
        </w:tc>
        <w:tc>
          <w:tcPr>
            <w:tcW w:w="1660" w:type="dxa"/>
            <w:vAlign w:val="bottom"/>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Pr>
          <w:p>
            <w:pPr>
              <w:spacing w:after="0"/>
              <w:rPr>
                <w:sz w:val="14"/>
                <w:szCs w:val="14"/>
                <w:color w:val="auto"/>
              </w:rPr>
            </w:pPr>
          </w:p>
        </w:tc>
      </w:tr>
      <w:tr>
        <w:trPr>
          <w:trHeight w:val="163"/>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relationship</w:t>
            </w:r>
          </w:p>
        </w:tc>
        <w:tc>
          <w:tcPr>
            <w:tcW w:w="2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5"/>
              </w:rPr>
              <w:t>7.0</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1,621</w:t>
            </w:r>
          </w:p>
        </w:tc>
        <w:tc>
          <w:tcPr>
            <w:tcW w:w="40" w:type="dxa"/>
            <w:vAlign w:val="bottom"/>
            <w:tcBorders>
              <w:top w:val="single" w:sz="8" w:color="auto"/>
            </w:tcBorders>
            <w:shd w:val="clear" w:color="auto" w:fill="CCEEFF"/>
          </w:tcPr>
          <w:p>
            <w:pPr>
              <w:spacing w:after="0"/>
              <w:rPr>
                <w:sz w:val="14"/>
                <w:szCs w:val="14"/>
                <w:color w:val="auto"/>
              </w:rPr>
            </w:pPr>
          </w:p>
        </w:tc>
      </w:tr>
      <w:tr>
        <w:trPr>
          <w:trHeight w:val="165"/>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Noncompete agreements</w:t>
            </w:r>
          </w:p>
        </w:tc>
        <w:tc>
          <w:tcPr>
            <w:tcW w:w="5260" w:type="dxa"/>
            <w:vAlign w:val="bottom"/>
            <w:gridSpan w:val="3"/>
          </w:tcPr>
          <w:p>
            <w:pPr>
              <w:jc w:val="center"/>
              <w:ind w:left="2494"/>
              <w:spacing w:after="0"/>
              <w:rPr>
                <w:sz w:val="20"/>
                <w:szCs w:val="20"/>
                <w:color w:val="auto"/>
              </w:rPr>
            </w:pPr>
            <w:r>
              <w:rPr>
                <w:rFonts w:ascii="Times New Roman" w:cs="Times New Roman" w:eastAsia="Times New Roman" w:hAnsi="Times New Roman"/>
                <w:sz w:val="13"/>
                <w:szCs w:val="13"/>
                <w:color w:val="auto"/>
                <w:w w:val="85"/>
              </w:rPr>
              <w:t>5.0</w:t>
            </w:r>
          </w:p>
        </w:tc>
        <w:tc>
          <w:tcPr>
            <w:tcW w:w="100" w:type="dxa"/>
            <w:vAlign w:val="bottom"/>
          </w:tcPr>
          <w:p>
            <w:pPr>
              <w:spacing w:after="0"/>
              <w:rPr>
                <w:sz w:val="14"/>
                <w:szCs w:val="14"/>
                <w:color w:val="auto"/>
              </w:rPr>
            </w:pPr>
          </w:p>
        </w:tc>
        <w:tc>
          <w:tcPr>
            <w:tcW w:w="560" w:type="dxa"/>
            <w:vAlign w:val="bottom"/>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40" w:type="dxa"/>
            <w:vAlign w:val="bottom"/>
          </w:tcPr>
          <w:p>
            <w:pPr>
              <w:spacing w:after="0"/>
              <w:rPr>
                <w:sz w:val="14"/>
                <w:szCs w:val="14"/>
                <w:color w:val="auto"/>
              </w:rPr>
            </w:pPr>
          </w:p>
        </w:tc>
      </w:tr>
    </w:tbl>
    <w:p>
      <w:pPr>
        <w:spacing w:after="0" w:line="19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fair value of customer relationships was determined using the income approach, which requires management to estimate a number of factors for each reporting unit, including projected future operating results and discount rates. The fair value of the trade names was determined using the relief from royalty method. The fair value of noncompete agreements was determined using an income approach method, which requires management to estimate a number of factors related to the expected future cash flows of Pine Cove and the potential impact and probability of competition, assuming such noncompete agreements were not in place.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Supplemental Unaudited Pro Forma Financial Information</w:t>
      </w:r>
    </w:p>
    <w:p>
      <w:pPr>
        <w:spacing w:after="0" w:line="13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unaudited pro forma information for the periods set forth below gives effect to the business acquisitions that occurred during the year ended December 31, 2025 (TrailRunner and Pine Cove), as if they occurred as of January 1, 2024. The pro forma financial information is presented for informational purposes only and is not necessarily indicative of the results of operations that actually would have been achieved had the acquisition been consummated as of that time. Pro forma revenue and net income amounts are as follows for the years ended December 31, 2025 and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920" w:type="dxa"/>
            <w:vAlign w:val="bottom"/>
            <w:tcBorders>
              <w:bottom w:val="single" w:sz="8" w:color="CCEEFF"/>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195,727</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175,535</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(38,333)</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(21,886)</w:t>
            </w:r>
          </w:p>
        </w:tc>
      </w:tr>
    </w:tbl>
    <w:p>
      <w:pPr>
        <w:spacing w:after="0" w:line="19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Revenue attributable to TrailRunner and Pine Cove, included within the consolidated statements of operations for the year ended December 31, 2025, was $23.1 million. Net income attributable to TrailRunner and Pine Cove, included within the consolidated statements of operations for the year ended December 31, 2025, was $0.3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SEGMENT REPORTING</w:t>
      </w:r>
    </w:p>
    <w:p>
      <w:pPr>
        <w:spacing w:after="0" w:line="138"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The Company determined that its business is conducted across three reportable segments as of December 31, 2025 as follows: Government Relations Consulting, Corporate Communications &amp; Public Affairs Consulting and Compliance and Insights Services.</w:t>
      </w:r>
    </w:p>
    <w:p>
      <w:pPr>
        <w:spacing w:after="0" w:line="80" w:lineRule="exact"/>
        <w:rPr>
          <w:sz w:val="20"/>
          <w:szCs w:val="20"/>
          <w:color w:val="auto"/>
        </w:rPr>
      </w:pPr>
    </w:p>
    <w:p>
      <w:pPr>
        <w:ind w:left="520" w:right="20" w:hanging="6"/>
        <w:spacing w:after="0" w:line="290" w:lineRule="auto"/>
        <w:tabs>
          <w:tab w:leader="none" w:pos="771"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Government Relations Consulting </w:t>
      </w:r>
      <w:r>
        <w:rPr>
          <w:rFonts w:ascii="Times New Roman" w:cs="Times New Roman" w:eastAsia="Times New Roman" w:hAnsi="Times New Roman"/>
          <w:sz w:val="14"/>
          <w:szCs w:val="14"/>
          <w:color w:val="auto"/>
        </w:rPr>
        <w:t>services (which is also commonly referred to as “lobbying”) include advocacy, strategic guidance, political intelligence and issue monitoring at the 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federal and state levels and in the United Kingdom through our offices in London;</w:t>
      </w:r>
    </w:p>
    <w:p>
      <w:pPr>
        <w:spacing w:after="0" w:line="7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Corporate Communications &amp; Public Affairs Consulting </w:t>
      </w:r>
      <w:r>
        <w:rPr>
          <w:rFonts w:ascii="Times New Roman" w:cs="Times New Roman" w:eastAsia="Times New Roman" w:hAnsi="Times New Roman"/>
          <w:sz w:val="14"/>
          <w:szCs w:val="14"/>
          <w:color w:val="auto"/>
        </w:rPr>
        <w:t>services include policy communications, crisis communications, financial communications and investor relations, litigation</w:t>
      </w:r>
    </w:p>
    <w:p>
      <w:pPr>
        <w:spacing w:after="0" w:line="25" w:lineRule="exact"/>
        <w:rPr>
          <w:rFonts w:ascii="Times New Roman" w:cs="Times New Roman" w:eastAsia="Times New Roman" w:hAnsi="Times New Roman"/>
          <w:sz w:val="14"/>
          <w:szCs w:val="14"/>
          <w:color w:val="auto"/>
        </w:rPr>
      </w:pPr>
    </w:p>
    <w:p>
      <w:pPr>
        <w:ind w:left="520" w:right="40"/>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support, community relations, social and digital media, public opinion research, branding and messaging, and relationship marketing, across the United States and internationally through our offices in London, Shanghai, Abu Dhabi, and Dubai; 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Compliance and Insights Services </w:t>
      </w:r>
      <w:r>
        <w:rPr>
          <w:rFonts w:ascii="Times New Roman" w:cs="Times New Roman" w:eastAsia="Times New Roman" w:hAnsi="Times New Roman"/>
          <w:sz w:val="14"/>
          <w:szCs w:val="14"/>
          <w:color w:val="auto"/>
        </w:rPr>
        <w:t>include lobbying compliance services and legislative tracking.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4"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Chief Operating Decision Maker ("CODM"), being its Chief Executive Officer, is not regularly provided assets on a segment basis since it is not used to allocate resources and assess performance for each of the segments; therefore, total segment assets have not been disclosed. In addition, for the years ended December 31, 2025 and 2024, revenues in each of the three segments were primarily attributable the United States operations as there were no other countries from which the Company derived segment revenues that exceeded 10% of that segment.</w:t>
      </w:r>
    </w:p>
    <w:p>
      <w:pPr>
        <w:spacing w:after="0" w:line="93"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following tables present segment information by revenues, significant expenses consisting of staff costs and non-staff costs by segment and Adjusted Pre-Bonus EBITDA by segment, and a reconciliation to the consolidated net loss before income taxes for each of the years ended December 31, 2025 and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years ended months ended December 31, 2024, the segment information has been recast to conform to the 2025 segment information.</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Year Ended December 31, 2025</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66"/>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Government Relations</w:t>
            </w: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Corporate Communications</w:t>
            </w:r>
          </w:p>
        </w:tc>
        <w:tc>
          <w:tcPr>
            <w:tcW w:w="120" w:type="dxa"/>
            <w:vAlign w:val="bottom"/>
          </w:tcPr>
          <w:p>
            <w:pPr>
              <w:spacing w:after="0"/>
              <w:rPr>
                <w:sz w:val="14"/>
                <w:szCs w:val="14"/>
                <w:color w:val="auto"/>
              </w:rPr>
            </w:pP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Compliance and Insights</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5"/>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Consulting</w:t>
            </w: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&amp; Public Affairs Consulting</w:t>
            </w:r>
          </w:p>
        </w:tc>
        <w:tc>
          <w:tcPr>
            <w:tcW w:w="120" w:type="dxa"/>
            <w:vAlign w:val="bottom"/>
          </w:tcPr>
          <w:p>
            <w:pPr>
              <w:spacing w:after="0"/>
              <w:rPr>
                <w:sz w:val="15"/>
                <w:szCs w:val="15"/>
                <w:color w:val="auto"/>
              </w:rPr>
            </w:pP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Services</w:t>
            </w:r>
          </w:p>
        </w:tc>
        <w:tc>
          <w:tcPr>
            <w:tcW w:w="380" w:type="dxa"/>
            <w:vAlign w:val="bottom"/>
          </w:tcPr>
          <w:p>
            <w:pPr>
              <w:spacing w:after="0"/>
              <w:rPr>
                <w:sz w:val="15"/>
                <w:szCs w:val="15"/>
                <w:color w:val="auto"/>
              </w:rPr>
            </w:pPr>
          </w:p>
        </w:tc>
        <w:tc>
          <w:tcPr>
            <w:tcW w:w="1280" w:type="dxa"/>
            <w:vAlign w:val="bottom"/>
          </w:tcPr>
          <w:p>
            <w:pPr>
              <w:jc w:val="right"/>
              <w:ind w:right="62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108,495</w:t>
            </w: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65,050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12,996</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186,541</w:t>
            </w:r>
          </w:p>
        </w:tc>
      </w:tr>
      <w:tr>
        <w:trPr>
          <w:trHeight w:val="183"/>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Costs and expenses:</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9"/>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Staff costs by segment</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50,175</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5,124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92,676</w:t>
            </w:r>
          </w:p>
        </w:tc>
      </w:tr>
      <w:tr>
        <w:trPr>
          <w:trHeight w:val="183"/>
        </w:trPr>
        <w:tc>
          <w:tcPr>
            <w:tcW w:w="4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Non-staff costs by segment</w:t>
            </w: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9,780</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8,863</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761</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19,404</w:t>
            </w:r>
          </w:p>
        </w:tc>
      </w:tr>
      <w:tr>
        <w:trPr>
          <w:trHeight w:val="18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Segment Adjusted Pre-Bonus EBITDA</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48,540</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18,810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7,111</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74,461</w:t>
            </w:r>
          </w:p>
        </w:tc>
      </w:tr>
      <w:tr>
        <w:trPr>
          <w:trHeight w:val="183"/>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Reconciliation to net loss before income taxes:</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9"/>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Unallocated bonuses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(16,716)</w:t>
            </w:r>
          </w:p>
        </w:tc>
      </w:tr>
      <w:tr>
        <w:trPr>
          <w:trHeight w:val="183"/>
        </w:trPr>
        <w:tc>
          <w:tcPr>
            <w:tcW w:w="4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Unallocated corporate level expenses</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(13,181)</w:t>
            </w:r>
          </w:p>
        </w:tc>
      </w:tr>
      <w:tr>
        <w:trPr>
          <w:trHeight w:val="199"/>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Depreciation</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(192)</w:t>
            </w:r>
          </w:p>
        </w:tc>
      </w:tr>
      <w:tr>
        <w:trPr>
          <w:trHeight w:val="183"/>
        </w:trPr>
        <w:tc>
          <w:tcPr>
            <w:tcW w:w="4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Share-based accounting charge</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(29,626)</w:t>
            </w:r>
          </w:p>
        </w:tc>
      </w:tr>
      <w:tr>
        <w:trPr>
          <w:trHeight w:val="199"/>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Post-combination compensation charges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(21,271)</w:t>
            </w:r>
          </w:p>
        </w:tc>
      </w:tr>
      <w:tr>
        <w:trPr>
          <w:trHeight w:val="183"/>
        </w:trPr>
        <w:tc>
          <w:tcPr>
            <w:tcW w:w="4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Long term incentive program charges</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(7,086)</w:t>
            </w:r>
          </w:p>
        </w:tc>
      </w:tr>
      <w:tr>
        <w:trPr>
          <w:trHeight w:val="199"/>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Change in contingent consideration</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(5,147)</w:t>
            </w:r>
          </w:p>
        </w:tc>
      </w:tr>
      <w:tr>
        <w:trPr>
          <w:trHeight w:val="183"/>
        </w:trPr>
        <w:tc>
          <w:tcPr>
            <w:tcW w:w="4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Loss on impairment of intangible assets</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(2,890)</w:t>
            </w:r>
          </w:p>
        </w:tc>
      </w:tr>
      <w:tr>
        <w:trPr>
          <w:trHeight w:val="199"/>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Loss on impairment of goodwill</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(4,760)</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(6,219)</w:t>
            </w:r>
          </w:p>
        </w:tc>
      </w:tr>
      <w:tr>
        <w:trPr>
          <w:trHeight w:val="183"/>
        </w:trPr>
        <w:tc>
          <w:tcPr>
            <w:tcW w:w="4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16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(6,046)</w:t>
            </w:r>
          </w:p>
        </w:tc>
      </w:tr>
      <w:tr>
        <w:trPr>
          <w:trHeight w:val="17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from operations</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(33,913)</w:t>
            </w:r>
          </w:p>
        </w:tc>
      </w:tr>
      <w:tr>
        <w:trPr>
          <w:trHeight w:val="183"/>
        </w:trPr>
        <w:tc>
          <w:tcPr>
            <w:tcW w:w="4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Gain on bargain purchase</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2,043</w:t>
            </w:r>
          </w:p>
        </w:tc>
      </w:tr>
      <w:tr>
        <w:trPr>
          <w:trHeight w:val="199"/>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Interest, net</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(3,321)</w:t>
            </w:r>
          </w:p>
        </w:tc>
      </w:tr>
      <w:tr>
        <w:trPr>
          <w:trHeight w:val="183"/>
        </w:trPr>
        <w:tc>
          <w:tcPr>
            <w:tcW w:w="4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Other income, net</w:t>
            </w:r>
          </w:p>
        </w:tc>
        <w:tc>
          <w:tcPr>
            <w:tcW w:w="16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589</w:t>
            </w:r>
          </w:p>
        </w:tc>
      </w:tr>
      <w:tr>
        <w:trPr>
          <w:trHeight w:val="17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before income taxes</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(34,602)</w:t>
            </w:r>
          </w:p>
        </w:tc>
      </w:tr>
      <w:tr>
        <w:trPr>
          <w:trHeight w:val="183"/>
        </w:trPr>
        <w:tc>
          <w:tcPr>
            <w:tcW w:w="4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Income tax expense</w:t>
            </w:r>
          </w:p>
        </w:tc>
        <w:tc>
          <w:tcPr>
            <w:tcW w:w="16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4,399</w:t>
            </w:r>
          </w:p>
        </w:tc>
      </w:tr>
      <w:tr>
        <w:trPr>
          <w:trHeight w:val="17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after income taxes</w:t>
            </w: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(39,001)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66"/>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Government Relations</w:t>
            </w: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Corporate Communications</w:t>
            </w:r>
          </w:p>
        </w:tc>
        <w:tc>
          <w:tcPr>
            <w:tcW w:w="10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Compliance and Insights</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5"/>
        </w:trPr>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Consulting</w:t>
            </w: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&amp; Public Affairs Consulting</w:t>
            </w:r>
          </w:p>
        </w:tc>
        <w:tc>
          <w:tcPr>
            <w:tcW w:w="100" w:type="dxa"/>
            <w:vAlign w:val="bottom"/>
          </w:tcPr>
          <w:p>
            <w:pPr>
              <w:spacing w:after="0"/>
              <w:rPr>
                <w:sz w:val="15"/>
                <w:szCs w:val="15"/>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Services</w:t>
            </w:r>
          </w:p>
        </w:tc>
        <w:tc>
          <w:tcPr>
            <w:tcW w:w="380" w:type="dxa"/>
            <w:vAlign w:val="bottom"/>
          </w:tcPr>
          <w:p>
            <w:pPr>
              <w:spacing w:after="0"/>
              <w:rPr>
                <w:sz w:val="15"/>
                <w:szCs w:val="15"/>
                <w:color w:val="auto"/>
              </w:rPr>
            </w:pPr>
          </w:p>
        </w:tc>
        <w:tc>
          <w:tcPr>
            <w:tcW w:w="1280" w:type="dxa"/>
            <w:vAlign w:val="bottom"/>
          </w:tcPr>
          <w:p>
            <w:pPr>
              <w:jc w:val="right"/>
              <w:ind w:right="62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9"/>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b w:val="1"/>
                <w:bCs w:val="1"/>
                <w:color w:val="auto"/>
              </w:rPr>
              <w:t>102,464</w:t>
            </w: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b w:val="1"/>
                <w:bCs w:val="1"/>
                <w:color w:val="auto"/>
              </w:rPr>
              <w:t>36,405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b w:val="1"/>
                <w:bCs w:val="1"/>
                <w:color w:val="auto"/>
              </w:rPr>
              <w:t>10,694</w:t>
            </w: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149,563</w:t>
            </w:r>
          </w:p>
        </w:tc>
      </w:tr>
      <w:tr>
        <w:trPr>
          <w:trHeight w:val="183"/>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Costs and expenses:</w:t>
            </w: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9"/>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Staff costs by segment</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47,342</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23,419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4,893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75,654</w:t>
            </w:r>
          </w:p>
        </w:tc>
      </w:tr>
      <w:tr>
        <w:trPr>
          <w:trHeight w:val="183"/>
        </w:trPr>
        <w:tc>
          <w:tcPr>
            <w:tcW w:w="4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Non-staff costs by segment</w:t>
            </w: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color w:val="auto"/>
              </w:rPr>
              <w:t>8,173</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rPr>
              <w:t>5,203</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color w:val="auto"/>
              </w:rPr>
              <w:t>702</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14,078</w:t>
            </w:r>
          </w:p>
        </w:tc>
      </w:tr>
      <w:tr>
        <w:trPr>
          <w:trHeight w:val="18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Segment Adjusted Pre-Bonus EBITDA</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b w:val="1"/>
                <w:bCs w:val="1"/>
                <w:color w:val="auto"/>
              </w:rPr>
              <w:t>46,949</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b w:val="1"/>
                <w:bCs w:val="1"/>
                <w:color w:val="auto"/>
              </w:rPr>
              <w:t>7,783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b w:val="1"/>
                <w:bCs w:val="1"/>
                <w:color w:val="auto"/>
              </w:rPr>
              <w:t>5,099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59,831</w:t>
            </w:r>
          </w:p>
        </w:tc>
      </w:tr>
      <w:tr>
        <w:trPr>
          <w:trHeight w:val="183"/>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Reconciliation to net loss before income taxes:</w:t>
            </w: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9"/>
        </w:trPr>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Unallocated bonuses</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(10,375)</w:t>
            </w:r>
          </w:p>
        </w:tc>
      </w:tr>
      <w:tr>
        <w:trPr>
          <w:trHeight w:val="183"/>
        </w:trPr>
        <w:tc>
          <w:tcPr>
            <w:tcW w:w="4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Unallocated corporate level expenses</w:t>
            </w: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(13,327)</w:t>
            </w:r>
          </w:p>
        </w:tc>
      </w:tr>
      <w:tr>
        <w:trPr>
          <w:trHeight w:val="199"/>
        </w:trPr>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Depreciation</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(136)</w:t>
            </w:r>
          </w:p>
        </w:tc>
      </w:tr>
      <w:tr>
        <w:trPr>
          <w:trHeight w:val="183"/>
        </w:trPr>
        <w:tc>
          <w:tcPr>
            <w:tcW w:w="4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Share-based accounting charge</w:t>
            </w: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(31,804)</w:t>
            </w:r>
          </w:p>
        </w:tc>
      </w:tr>
      <w:tr>
        <w:trPr>
          <w:trHeight w:val="199"/>
        </w:trPr>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Post-combination compensation charges</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(11,599)</w:t>
            </w:r>
          </w:p>
        </w:tc>
      </w:tr>
      <w:tr>
        <w:trPr>
          <w:trHeight w:val="183"/>
        </w:trPr>
        <w:tc>
          <w:tcPr>
            <w:tcW w:w="4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Long term incentive program charges</w:t>
            </w: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(4,162)</w:t>
            </w:r>
          </w:p>
        </w:tc>
      </w:tr>
      <w:tr>
        <w:trPr>
          <w:trHeight w:val="199"/>
        </w:trPr>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Change in contingent consideration</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(1,910)</w:t>
            </w:r>
          </w:p>
        </w:tc>
      </w:tr>
      <w:tr>
        <w:trPr>
          <w:trHeight w:val="183"/>
        </w:trPr>
        <w:tc>
          <w:tcPr>
            <w:tcW w:w="43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14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(4,671)</w:t>
            </w:r>
          </w:p>
        </w:tc>
      </w:tr>
      <w:tr>
        <w:trPr>
          <w:trHeight w:val="17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from operations</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(18,153)</w:t>
            </w:r>
          </w:p>
        </w:tc>
      </w:tr>
      <w:tr>
        <w:trPr>
          <w:trHeight w:val="183"/>
        </w:trPr>
        <w:tc>
          <w:tcPr>
            <w:tcW w:w="4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Gain on bargain purchase</w:t>
            </w: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2,464</w:t>
            </w:r>
          </w:p>
        </w:tc>
      </w:tr>
      <w:tr>
        <w:trPr>
          <w:trHeight w:val="199"/>
        </w:trPr>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Interest, net</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(1,723)</w:t>
            </w:r>
          </w:p>
        </w:tc>
      </w:tr>
      <w:tr>
        <w:trPr>
          <w:trHeight w:val="163"/>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before income taxes</w:t>
            </w: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(17,412)</w:t>
            </w:r>
          </w:p>
        </w:tc>
      </w:tr>
      <w:tr>
        <w:trPr>
          <w:trHeight w:val="199"/>
        </w:trPr>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Income tax expense</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6,545</w:t>
            </w:r>
          </w:p>
        </w:tc>
      </w:tr>
      <w:tr>
        <w:trPr>
          <w:trHeight w:val="163"/>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after income taxes</w:t>
            </w: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(23,957)</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STOCKHOLDERS' EQUITY</w:t>
      </w:r>
    </w:p>
    <w:p>
      <w:pPr>
        <w:spacing w:after="0" w:line="13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4"/>
          <w:szCs w:val="14"/>
          <w:color w:val="auto"/>
        </w:rPr>
        <w:t>As of December 31, 2025, the authorized capital of the Company consists of 1,100,000,000 shares of capital stock, $0.001 par value per share, of which 1,000,000,000 shares are designated as common stock and 100,000,000 shares are designated as preferred stock. The Company’s stockholders include holders of fully vested Common Stock, unvested pre-UK IPO Shares, unvested Restricted Stock Awards, and unvested Common Stock issued in connection with business acquisitions. Each share of Common Stock, whether vested or unvested, carries one vote on matters submitted to stockholders and entitles the holder to nonforfeitable dividend rights on a per-share basis. Holders of all types of unvested Common Stock are not contractually obligated to fund Company losses. There are no shares of preferred stock outstanding. During May 2025 and October 2025, the Company issued dividends of $0.235 and $0.115 per share, respectively. During May 2024 and October 2024, the Company issued dividends of $0.485 and $0.235 per share, respectively.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POLICY HOLDING COMPANY, INC. AND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thousands, except share and per share data)</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Shares</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has issued unvested restricted common stock as consideration for business combinations and as compensation to employees (collectively "Restricted Shares"). The holders of Restricted Shares hold the right to vote and a non-forfeitable right to dividends paid. The Company’s Restricted Shares are as follows as of December 31: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1020" w:type="dxa"/>
            <w:vAlign w:val="bottom"/>
          </w:tcPr>
          <w:p>
            <w:pPr>
              <w:spacing w:after="0"/>
              <w:rPr>
                <w:sz w:val="14"/>
                <w:szCs w:val="14"/>
                <w:color w:val="auto"/>
              </w:rPr>
            </w:pPr>
          </w:p>
        </w:tc>
      </w:tr>
      <w:tr>
        <w:trPr>
          <w:trHeight w:val="172"/>
        </w:trPr>
        <w:tc>
          <w:tcPr>
            <w:tcW w:w="8780" w:type="dxa"/>
            <w:vAlign w:val="bottom"/>
            <w:gridSpan w:val="2"/>
          </w:tcPr>
          <w:p>
            <w:pPr>
              <w:ind w:left="8500"/>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3"/>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KP Closing Share Payment</w:t>
            </w:r>
          </w:p>
        </w:tc>
        <w:tc>
          <w:tcPr>
            <w:tcW w:w="10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36,980</w:t>
            </w: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73,959</w:t>
            </w:r>
          </w:p>
        </w:tc>
      </w:tr>
      <w:tr>
        <w:trPr>
          <w:trHeight w:val="169"/>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KP Earnout 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7,893</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24,539</w:t>
            </w:r>
          </w:p>
        </w:tc>
      </w:tr>
      <w:tr>
        <w:trPr>
          <w:trHeight w:val="182"/>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KP Interim payment shares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35,011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Engage Restricted Shares</w:t>
            </w:r>
          </w:p>
        </w:tc>
        <w:tc>
          <w:tcPr>
            <w:tcW w:w="1480" w:type="dxa"/>
            <w:vAlign w:val="bottom"/>
            <w:gridSpan w:val="3"/>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32,487</w:t>
            </w:r>
          </w:p>
        </w:tc>
      </w:tr>
      <w:tr>
        <w:trPr>
          <w:trHeight w:val="171"/>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MS Closing Vesting Shares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131,554</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263,109</w:t>
            </w:r>
          </w:p>
        </w:tc>
      </w:tr>
      <w:tr>
        <w:trPr>
          <w:trHeight w:val="169"/>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MS First Interim Vesting 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55,760</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111,520</w:t>
            </w:r>
          </w:p>
        </w:tc>
      </w:tr>
      <w:tr>
        <w:trPr>
          <w:trHeight w:val="171"/>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Lucas Public Affairs Closing Shares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191,674</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191,675</w:t>
            </w:r>
          </w:p>
        </w:tc>
      </w:tr>
      <w:tr>
        <w:trPr>
          <w:trHeight w:val="169"/>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Alpine Inc. restricted stock awards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213,232</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342,231</w:t>
            </w:r>
          </w:p>
        </w:tc>
      </w:tr>
      <w:tr>
        <w:trPr>
          <w:trHeight w:val="171"/>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TrailRunner Restricted Shares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458,313</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Pine Cove Restricted 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33,835</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87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restricted shares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209,374</w:t>
            </w: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177,626</w:t>
            </w:r>
          </w:p>
        </w:tc>
      </w:tr>
      <w:tr>
        <w:trPr>
          <w:trHeight w:val="160"/>
        </w:trPr>
        <w:tc>
          <w:tcPr>
            <w:tcW w:w="8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restricted Shares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1,373,626</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1,217,146</w:t>
            </w:r>
          </w:p>
        </w:tc>
      </w:tr>
    </w:tbl>
    <w:p>
      <w:pPr>
        <w:spacing w:after="0" w:line="187" w:lineRule="exact"/>
        <w:rPr>
          <w:sz w:val="20"/>
          <w:szCs w:val="20"/>
          <w:color w:val="auto"/>
        </w:rPr>
      </w:pPr>
    </w:p>
    <w:p>
      <w:pPr>
        <w:ind w:right="2100"/>
        <w:spacing w:after="0" w:line="442" w:lineRule="auto"/>
        <w:rPr>
          <w:sz w:val="20"/>
          <w:szCs w:val="20"/>
          <w:color w:val="auto"/>
        </w:rPr>
      </w:pPr>
      <w:r>
        <w:rPr>
          <w:rFonts w:ascii="Times New Roman" w:cs="Times New Roman" w:eastAsia="Times New Roman" w:hAnsi="Times New Roman"/>
          <w:sz w:val="14"/>
          <w:szCs w:val="14"/>
          <w:color w:val="auto"/>
        </w:rPr>
        <w:t xml:space="preserve">The total fair value Restricted Shares and RSUs that vested during the years ended December 31, 2025 and 2024 was $11.4 million and $5.0 million, respectively. </w:t>
      </w:r>
      <w:r>
        <w:rPr>
          <w:rFonts w:ascii="Times New Roman" w:cs="Times New Roman" w:eastAsia="Times New Roman" w:hAnsi="Times New Roman"/>
          <w:sz w:val="14"/>
          <w:szCs w:val="14"/>
          <w:b w:val="1"/>
          <w:bCs w:val="1"/>
          <w:color w:val="auto"/>
        </w:rPr>
        <w:t>NOTE 19. SUBSEQUENT EVENTS</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On January 29, 2026, the Company consummated its initial public offering (“IPO”) of 4,150,000 shares the Company’s Common Stock, comprising 3,400,000 newly issued shares of Common Stock and 750,000 shares of existing Common Stock (together the “Shares”) sold by, respectively, the Company and certain shareholders of the Company (the “Selling Stockholders”). The Shares were sold at a price of $12.25 per Share, generating gross proceeds to the Company of $41.7 million and gross proceeds to the Selling Stockholders of $9.2 million. On March 2, 2026, the Company announced the issue of 342,500 new shares of Common Stock, pursuant to the partial exercise of the over-allotment option granted to the underwriters in connection with the Company's IPO and admission to the Nasdaq Global Market in January 2026.</w:t>
      </w:r>
    </w:p>
    <w:p>
      <w:pPr>
        <w:spacing w:after="0" w:line="10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In connection with the IPO, the Company entered into an underwriting agreement (the “Underwriting Agreement”), dated January 27, 2026, by and among the Company, the selling stockholders listed therein and Oppenheimer &amp; Co. Inc. and Canaccord Genuity LLC, as representative of the underwriters, a form of which was previously filed as an exhibit to the Company’s Registration Statement on Form S-1 (File No. 333-290834) initially filed with the SEC on October 10, 2025, and subsequently amended (as amended, the “Registration Statement”). The Underwriting Agreement contains customary representations, warranties, covenants and agreements by the Company, customary conditions to closing, indemnification obligations of the Company and the underwriters, including for liabilities under the Securities Act, certain other obligations of the parties and termination provisions.</w:t>
      </w:r>
    </w:p>
    <w:p>
      <w:pPr>
        <w:spacing w:after="0" w:line="111" w:lineRule="exact"/>
        <w:rPr>
          <w:sz w:val="20"/>
          <w:szCs w:val="20"/>
          <w:color w:val="auto"/>
        </w:rPr>
      </w:pPr>
    </w:p>
    <w:p>
      <w:pPr>
        <w:spacing w:after="0" w:line="319" w:lineRule="auto"/>
        <w:rPr>
          <w:sz w:val="20"/>
          <w:szCs w:val="20"/>
          <w:color w:val="auto"/>
        </w:rPr>
      </w:pPr>
      <w:r>
        <w:rPr>
          <w:rFonts w:ascii="Times New Roman" w:cs="Times New Roman" w:eastAsia="Times New Roman" w:hAnsi="Times New Roman"/>
          <w:sz w:val="14"/>
          <w:szCs w:val="14"/>
          <w:color w:val="auto"/>
        </w:rPr>
        <w:t>On March 20, 2026, the Company entered into a binding agreement to acquire all of the outstanding shares of Westminster Policy Partners Limited, a leading UK public affairs and economics consultancy. The acquisition is expected to close on April 1, 2026 for a combination of cash and shares.</w:t>
      </w:r>
    </w:p>
    <w:p>
      <w:pPr>
        <w:spacing w:after="0" w:line="13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first stock-based compensation units under the Omnibus incentive Plan were issued in 2022. On September 29, 2025, our board of directors approved an amendment (the "2025 Amendment") to our Omnibus Incentive Plan, which became effective on January 26, 2026. Key terms of the Omnibus Incentive Plan, as so amended, and of certain grant agreements thereunder are summarized in our Form S-1/A#5 as filed on January 23, 2026.</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4" w:name="page105"/>
    <w:bookmarkEnd w:id="104"/>
    <w:p>
      <w:pPr>
        <w:spacing w:after="0" w:line="7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9.</w:t>
        <w:tab/>
        <w:t>CHANGES IN AND DISAGREEMENTS WITH ACCOUNTANTS ON ACCOUNTING AND FINANCIAL DISCLOSURE</w:t>
      </w:r>
    </w:p>
    <w:p>
      <w:pPr>
        <w:spacing w:after="0" w:line="13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Upon the recommendation of our audit committee, we engaged Forvis Mazars, LLP on July 13, 2024 as the Company’s independent external (statutory) auditors for the year ending December 31, 2024. In connection with this appointment, in July 2024, upon the recommendation of our audit committee, we terminated the engagement of MN Blum, LLC (“MN Blum”) as our component auditor and terminated the engagement of Crowe U.K. LLP (“Crowe UK”) as our statutory auditor for the year ended December 31, 2024.</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Neither MN Blum nor Crowe UK prepared reports on our financial statements for the years ended December 31, 2025 and 2024.</w:t>
      </w:r>
    </w:p>
    <w:p>
      <w:pPr>
        <w:spacing w:after="0" w:line="136"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auto"/>
        </w:rPr>
        <w:t>No report by MN Blum or Crowe UK on our financial statements for the years ended December 31, 2023, or for any subsequent interim period, contained an adverse opinion or a disclaimer of opinion, or was qualified or modified as to uncertainty, audit scope or accounting principles, and there were no disagreements with respect to any such period with MN Blum or Crowe UK on any matter of accounting principles or practices, financial statement disclosure, or auditing scope or procedure, which disagreement(s), if not resolved to the satisfaction of MN Blum or Crowe UK, respectively, would have caused it to make reference to the subject matter of the disagreement(s) in connection with its report for such period.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“reportable events” as defined in Item 304(a)(1)(v) of Regulation S-K for such years and subsequent interim period through July 13, 2024.</w:t>
      </w:r>
    </w:p>
    <w:p>
      <w:pPr>
        <w:spacing w:after="0" w:line="13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In accordance with Item 304(a)(3) of Regulation S-K, we have provided MN Blum and Crowe UK with a copy of our Annual Report on Form 10-K and requested that each of MN Blum and Crowe UK furnish the Company with a letter addressed to the SEC stating whether or not it agrees with the statements made herein.</w:t>
      </w:r>
    </w:p>
    <w:p>
      <w:pPr>
        <w:spacing w:after="0" w:line="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During the fiscal years ended December 31, 2023 and during the interim period through July 13, 2024, neither the Company nor anyone on its behalf consulted with Forvis Mazars, LLP regarding either (1) the application of accounting principles to a specific transaction, completed or proposed, or the type of audit opinion that might be rendered on the Company’s consolidated financial statements, and neither a written report nor oral advice was provided to the Company that Forvis Mazars, LLP concluded was an important factor considered by the Company in reaching a decision as to any accounting, auditing, or financial reporting issue, or (2) any matter that was either the subject of a “disagreement” (as defined in Item 304(a)(1)(iv) of Regulation S-K) or a “reportable event” (as described in Item 304(a)(1)(v) of Regulation S-K).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Disclosure Controls and Procedures</w:t>
      </w:r>
    </w:p>
    <w:p>
      <w:pPr>
        <w:spacing w:after="0" w:line="138"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As required by Rule 13a-15 under the Exchange Act, we carried out an evaluation of the effectiveness of our disclosure controls and procedures as of the end of the period covered by this Annual Report on Form 10-K. This evaluation was carried out under the supervision and with the participation of management, including our Chief Executive Officer and Chief Financial Officer.</w:t>
      </w:r>
    </w:p>
    <w:p>
      <w:pPr>
        <w:spacing w:after="0" w:line="8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Based on that evaluation, our Chief Executive Officer and Chief Financial Officer have concluded that our disclosure controls and procedures as of the end of the period covered by this Annual Report on Form 10-K are effective at a reasonable assurance level in ensuring that information required to be disclosed in our Exchange Act reports is (1) recorded, processed, summarized and reported in a timely manner and (2) accumulated and communicated to our management, including our Chief Executive Officer and Chief Financial Officer, as appropriate to allow timely decisions regarding required disclosure. Our management, including our Chief Executive Officer and Chief Financial Officer,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03"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As previously disclosed, when preparing the December 31, 2024 financial statements, we identified a material weakness in our internal control over financial reporting. Specifically, we determined that certain aspects of our control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05" w:name="page106"/>
    <w:bookmarkEnd w:id="105"/>
    <w:p>
      <w:pPr>
        <w:spacing w:after="0" w:line="75"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environment were not operating at the level of effectiveness required, in part due to an insufficient complement of qualified technical accounting and financial reporting personnel to consistently perform control activities, in particular those involving complex and/or non-routine transactions.</w:t>
      </w:r>
    </w:p>
    <w:p>
      <w:pPr>
        <w:spacing w:after="0" w:line="8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Throughout the current year, management implemented remediation actions to address this material weakness, including expanding and improving review processes, improving access to technical accounting resources, and supplementing the team with additional personnel possessing relevant experience and training. Despite these remediation efforts during the current fiscal year, management identified additional control deficiencies related to the accounting for certain transactions that, while more routine in nature than those previously identified, still required an appropriate level of judgment, technical analysis and review. These deficiencies indicate that the material weakness identified in the prior year has not been fully remediated.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continuing the process of developing and executing further remediation action items to address these current and historical material weaknesses.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Annual Report on Internal Control over Financial Reporting</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3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Other than the remediation measures in regard to the material weakness mentioned above, there were no changes to our internal controls over financial reporting during the year ended December 31, 2025 that have materially affected, or that are reasonably likely to materially affect, our internal control over financial reporting.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440" w:right="359" w:bottom="1440" w:gutter="0" w:footer="0" w:header="0"/>
        </w:sectPr>
      </w:pPr>
    </w:p>
    <w:bookmarkStart w:id="106" w:name="page107"/>
    <w:bookmarkEnd w:id="106"/>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3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10.</w:t>
        <w:tab/>
        <w:t>DIRECTORS, EXECUTIVE OFFICERS AND CORPORATE GOVERNANCE</w:t>
      </w:r>
    </w:p>
    <w:p>
      <w:pPr>
        <w:spacing w:after="0" w:line="127"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4"/>
          <w:szCs w:val="14"/>
          <w:color w:val="auto"/>
        </w:rPr>
        <w:t>The information required by this Item 10 is incorporated by reference to the Company's definitive Proxy Statement for it 2026 Annual Meeting of Stockholders (the "2026 Proxy Statement") to be filed with the SEC within 120 days of December 31, 2025 under the captions "Our Board of Directors and Corporate Governance" and "Executive Officers".</w:t>
      </w:r>
    </w:p>
    <w:p>
      <w:pPr>
        <w:spacing w:after="0" w:line="15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11.</w:t>
        <w:tab/>
        <w:t>EXECUTIVE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this Item 11 is incorporated by reference to the 2026 Proxy Statement under the captions "Executive Compensation" and "Director Compensation".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Clawback Policy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adopted a clawback policy (the “Clawback Policy”) effective as of September 29, 2025. A copy of the Clawback Policy is filed as Exhibit 97.1 hereto.</w:t>
      </w:r>
    </w:p>
    <w:p>
      <w:pPr>
        <w:spacing w:after="0" w:line="20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4"/>
          <w:szCs w:val="14"/>
          <w:color w:val="auto"/>
        </w:rPr>
        <w:t>During 2025, the Company determined that previously filed interim and annual financial statements had a material error in its earnings per share calculation resulting from the inclusion of certain unvested Pre-UK IPO shares in the basic earnings per share calculation and the Company was also not appropriately applying the two-class method to calculate Basic and Diluted earnings per share in accordance with ASC 260, Earnings Per Share. As a result, earnings per share calculations were restated for the year ended December 31, 2024. Accordingly, the Company conducted a recovery analysis of incentive-based compensation received by its executive officers during the relevant period that would be applicable under Exchange Act rules. The Company concluded that no recovery was required, noting that the Clawback Policy was not in effect at the time the restatement was effected, and, even if it the Clawback Policy had been in effect, the restatements would not have required any clawbacks.</w:t>
      </w:r>
    </w:p>
    <w:p>
      <w:pPr>
        <w:spacing w:after="0" w:line="15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12.</w:t>
        <w:tab/>
        <w:t>SECURITY OWNERSHIP OF CERTAIN BENEFICIAL OWNERS AND MANAGEMENT AND RELATED STOCKHOLDER MATTERS</w:t>
      </w:r>
    </w:p>
    <w:p>
      <w:pPr>
        <w:spacing w:after="0" w:line="170"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color w:val="auto"/>
        </w:rPr>
        <w:t>The information required by this Item 12 is incorporated by reference to the 2026 Proxy Statement under the caption "Equity Compensation Plan Information" and "Security Ownership of Certain Beneficial Owners and Management".</w:t>
      </w:r>
    </w:p>
    <w:p>
      <w:pPr>
        <w:spacing w:after="0" w:line="34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13.</w:t>
        <w:tab/>
        <w:t>CERTAIN RELATIONSHIPS AND RELATED TRANSACTIONS, AND DIRECTOR INDEPENDENCE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this Item 13 is incorporated by reference to the 2026 Proxy Statement under the captions "Certain Relationships and Related Transactions" and "Director Independence".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this Item 14 is incorporated by reference to the 2026 Proxy Statement under the caption "Audit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440" w:right="399" w:bottom="1440" w:gutter="0" w:footer="0" w:header="0"/>
        </w:sectPr>
      </w:pPr>
    </w:p>
    <w:bookmarkStart w:id="107" w:name="page108"/>
    <w:bookmarkEnd w:id="107"/>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documents are included as part of this Annual Report on Form 10K.</w:t>
      </w:r>
    </w:p>
    <w:p>
      <w:pPr>
        <w:spacing w:after="0" w:line="200" w:lineRule="exact"/>
        <w:rPr>
          <w:sz w:val="20"/>
          <w:szCs w:val="20"/>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consolidated financial statements are listed in the “Index to Consolidated Financial Statements” under Part II, Item 8, of this Annual Report on Form 10-K.</w:t>
      </w:r>
    </w:p>
    <w:p>
      <w:pPr>
        <w:spacing w:after="0" w:line="200" w:lineRule="exact"/>
        <w:rPr>
          <w:sz w:val="20"/>
          <w:szCs w:val="20"/>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Schedules</w:t>
      </w:r>
    </w:p>
    <w:p>
      <w:pPr>
        <w:spacing w:after="0" w:line="189"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4"/>
          <w:szCs w:val="14"/>
          <w:color w:val="auto"/>
        </w:rPr>
        <w:t>All financial statement schedules have been omitted because they are not required or are not applicable, not material, or the required information is shown in Part II, Item 8 of this Annual Report on Form 10-K.</w:t>
      </w:r>
    </w:p>
    <w:p>
      <w:pPr>
        <w:spacing w:after="0" w:line="156" w:lineRule="exact"/>
        <w:rPr>
          <w:sz w:val="20"/>
          <w:szCs w:val="20"/>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exhibits listed below are filed as part of this Annual Report on Form 10-K, or are incorporated herein by reference, in each case as indicated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760" w:type="dxa"/>
            <w:vAlign w:val="bottom"/>
            <w:gridSpan w:val="13"/>
          </w:tcPr>
          <w:p>
            <w:pPr>
              <w:jc w:val="center"/>
              <w:ind w:right="450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331"/>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760" w:type="dxa"/>
            <w:vAlign w:val="bottom"/>
            <w:gridSpan w:val="13"/>
          </w:tcPr>
          <w:p>
            <w:pPr>
              <w:ind w:left="100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r>
      <w:tr>
        <w:trPr>
          <w:trHeight w:val="30"/>
        </w:trPr>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50"/>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bottom w:val="single" w:sz="8" w:color="0000FF"/>
            </w:tcBorders>
            <w:gridSpan w:val="9"/>
          </w:tcPr>
          <w:p>
            <w:pPr>
              <w:spacing w:after="0" w:line="150"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Second Amended and Restated Certificate of Incorporation of Public Policy Holding Company, Inc. (incorporated by reference to Exhibit 3.1 to the Company’s Registration</w:t>
              </w:r>
            </w:hyperlink>
          </w:p>
        </w:tc>
        <w:tc>
          <w:tcPr>
            <w:tcW w:w="260" w:type="dxa"/>
            <w:vAlign w:val="bottom"/>
            <w:gridSpan w:val="8"/>
          </w:tcPr>
          <w:p>
            <w:pPr>
              <w:spacing w:after="0"/>
              <w:rPr>
                <w:sz w:val="13"/>
                <w:szCs w:val="13"/>
                <w:color w:val="auto"/>
              </w:rPr>
            </w:pPr>
          </w:p>
        </w:tc>
      </w:tr>
      <w:tr>
        <w:trPr>
          <w:trHeight w:val="150"/>
        </w:trPr>
        <w:tc>
          <w:tcPr>
            <w:tcW w:w="200" w:type="dxa"/>
            <w:vAlign w:val="bottom"/>
            <w:gridSpan w:val="2"/>
          </w:tcPr>
          <w:p>
            <w:pPr>
              <w:ind w:left="20"/>
              <w:spacing w:after="0" w:line="150" w:lineRule="exact"/>
              <w:rPr>
                <w:rFonts w:ascii="Times New Roman" w:cs="Times New Roman" w:eastAsia="Times New Roman" w:hAnsi="Times New Roman"/>
                <w:sz w:val="14"/>
                <w:szCs w:val="14"/>
                <w:color w:val="0000FF"/>
                <w:w w:val="79"/>
              </w:rPr>
            </w:pPr>
            <w:hyperlink r:id="rId130">
              <w:r>
                <w:rPr>
                  <w:rFonts w:ascii="Times New Roman" w:cs="Times New Roman" w:eastAsia="Times New Roman" w:hAnsi="Times New Roman"/>
                  <w:sz w:val="14"/>
                  <w:szCs w:val="14"/>
                  <w:color w:val="0000FF"/>
                  <w:w w:val="79"/>
                </w:rPr>
                <w:t>3.</w:t>
              </w:r>
              <w:r>
                <w:rPr>
                  <w:rFonts w:ascii="Times New Roman" w:cs="Times New Roman" w:eastAsia="Times New Roman" w:hAnsi="Times New Roman"/>
                  <w:sz w:val="14"/>
                  <w:szCs w:val="14"/>
                  <w:u w:val="single" w:color="auto"/>
                  <w:color w:val="0000FF"/>
                  <w:w w:val="79"/>
                </w:rPr>
                <w:t>1</w:t>
              </w:r>
            </w:hyperlink>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gridSpan w:val="17"/>
          </w:tcPr>
          <w:p>
            <w:pPr>
              <w:spacing w:after="0" w:line="150"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Statement on Form S-1, filed with the SEC on October 10, 2025, File No. 333-290834).</w:t>
              </w:r>
            </w:hyperlink>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Amended and Restated Bylaws of Public Policy Holding Company, Inc. (incorporated by reference to Exhibit 3.2 to the Company’s Registration Statement on Form S-1, filed</w:t>
            </w:r>
          </w:p>
        </w:tc>
      </w:tr>
      <w:tr>
        <w:trPr>
          <w:trHeight w:val="150"/>
        </w:trPr>
        <w:tc>
          <w:tcPr>
            <w:tcW w:w="20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4"/>
                <w:szCs w:val="14"/>
                <w:color w:val="0000FF"/>
                <w:w w:val="79"/>
              </w:rPr>
              <w:t>3.</w:t>
            </w:r>
            <w:r>
              <w:rPr>
                <w:rFonts w:ascii="Times New Roman" w:cs="Times New Roman" w:eastAsia="Times New Roman" w:hAnsi="Times New Roman"/>
                <w:sz w:val="14"/>
                <w:szCs w:val="14"/>
                <w:u w:val="single" w:color="auto"/>
                <w:color w:val="0000FF"/>
                <w:w w:val="79"/>
              </w:rPr>
              <w:t>2</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12"/>
          </w:tcPr>
          <w:p>
            <w:pPr>
              <w:spacing w:after="0" w:line="150" w:lineRule="exact"/>
              <w:rPr>
                <w:sz w:val="20"/>
                <w:szCs w:val="20"/>
                <w:color w:val="auto"/>
              </w:rPr>
            </w:pPr>
            <w:r>
              <w:rPr>
                <w:rFonts w:ascii="Times New Roman" w:cs="Times New Roman" w:eastAsia="Times New Roman" w:hAnsi="Times New Roman"/>
                <w:sz w:val="14"/>
                <w:szCs w:val="14"/>
                <w:color w:val="0000FF"/>
              </w:rPr>
              <w:t>with the SEC on October 10, 2025, File No. 333-290834).</w:t>
            </w:r>
          </w:p>
        </w:tc>
        <w:tc>
          <w:tcPr>
            <w:tcW w:w="180" w:type="dxa"/>
            <w:vAlign w:val="bottom"/>
            <w:gridSpan w:val="5"/>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17"/>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Employment Agreement of George Stewart Hall (incorporated by reference to Exhibit 10.1 to the Company’s Registration Statement on Form S-1, filed with the SEC on</w:t>
              </w:r>
            </w:hyperlink>
          </w:p>
        </w:tc>
      </w:tr>
      <w:tr>
        <w:trPr>
          <w:trHeight w:val="150"/>
        </w:trPr>
        <w:tc>
          <w:tcPr>
            <w:tcW w:w="340" w:type="dxa"/>
            <w:vAlign w:val="bottom"/>
            <w:gridSpan w:val="3"/>
          </w:tcPr>
          <w:p>
            <w:pPr>
              <w:ind w:left="20"/>
              <w:spacing w:after="0" w:line="150"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hyperlink>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6"/>
          </w:tcPr>
          <w:p>
            <w:pPr>
              <w:spacing w:after="0" w:line="150"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October 10, 2025, File No. 333-290834).</w:t>
              </w:r>
            </w:hyperlink>
          </w:p>
        </w:tc>
        <w:tc>
          <w:tcPr>
            <w:tcW w:w="480" w:type="dxa"/>
            <w:vAlign w:val="bottom"/>
            <w:gridSpan w:val="11"/>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4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Employment Agreement of Roeland Smits (incorporated by reference to Exhibit 10.2 to the Company’s Registration Statement on Form S-1, filed with the SEC on October 10,</w:t>
              </w:r>
            </w:hyperlink>
          </w:p>
        </w:tc>
        <w:tc>
          <w:tcPr>
            <w:tcW w:w="100" w:type="dxa"/>
            <w:vAlign w:val="bottom"/>
            <w:gridSpan w:val="3"/>
          </w:tcPr>
          <w:p>
            <w:pPr>
              <w:spacing w:after="0"/>
              <w:rPr>
                <w:sz w:val="16"/>
                <w:szCs w:val="16"/>
                <w:color w:val="auto"/>
              </w:rPr>
            </w:pPr>
          </w:p>
        </w:tc>
      </w:tr>
      <w:tr>
        <w:trPr>
          <w:trHeight w:val="150"/>
        </w:trPr>
        <w:tc>
          <w:tcPr>
            <w:tcW w:w="340" w:type="dxa"/>
            <w:vAlign w:val="bottom"/>
            <w:gridSpan w:val="3"/>
          </w:tcPr>
          <w:p>
            <w:pPr>
              <w:ind w:left="20"/>
              <w:spacing w:after="0" w:line="150"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hyperlink>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gridSpan w:val="17"/>
          </w:tcPr>
          <w:p>
            <w:pPr>
              <w:spacing w:after="0" w:line="150"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2025, File No. 333-290834).</w:t>
              </w:r>
            </w:hyperlink>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9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6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Employment Agreement of Neal Strum (incorporated by reference to Exhibit 10.3 to the Company’s Registration Statement on Form S-1, filed with the SEC on October 10,</w:t>
              </w:r>
            </w:hyperlink>
          </w:p>
        </w:tc>
        <w:tc>
          <w:tcPr>
            <w:tcW w:w="280" w:type="dxa"/>
            <w:vAlign w:val="bottom"/>
            <w:gridSpan w:val="9"/>
          </w:tcPr>
          <w:p>
            <w:pPr>
              <w:spacing w:after="0"/>
              <w:rPr>
                <w:sz w:val="16"/>
                <w:szCs w:val="16"/>
                <w:color w:val="auto"/>
              </w:rPr>
            </w:pPr>
          </w:p>
        </w:tc>
      </w:tr>
      <w:tr>
        <w:trPr>
          <w:trHeight w:val="150"/>
        </w:trPr>
        <w:tc>
          <w:tcPr>
            <w:tcW w:w="340" w:type="dxa"/>
            <w:vAlign w:val="bottom"/>
            <w:gridSpan w:val="3"/>
          </w:tcPr>
          <w:p>
            <w:pPr>
              <w:ind w:left="20"/>
              <w:spacing w:after="0" w:line="150"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w:t>
              </w:r>
            </w:hyperlink>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gridSpan w:val="17"/>
          </w:tcPr>
          <w:p>
            <w:pPr>
              <w:spacing w:after="0" w:line="150"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2025, File No. 333-290834).</w:t>
              </w:r>
            </w:hyperlink>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9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2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Employment Agreement of Jeffrey Forbes (incorporated by reference to Exhibit 10.4 to the Company’s Registration Statement on Form S-1, filed with the SEC on October 10,</w:t>
              </w:r>
            </w:hyperlink>
          </w:p>
        </w:tc>
        <w:tc>
          <w:tcPr>
            <w:tcW w:w="120" w:type="dxa"/>
            <w:vAlign w:val="bottom"/>
            <w:gridSpan w:val="4"/>
          </w:tcPr>
          <w:p>
            <w:pPr>
              <w:spacing w:after="0"/>
              <w:rPr>
                <w:sz w:val="16"/>
                <w:szCs w:val="16"/>
                <w:color w:val="auto"/>
              </w:rPr>
            </w:pPr>
          </w:p>
        </w:tc>
      </w:tr>
      <w:tr>
        <w:trPr>
          <w:trHeight w:val="150"/>
        </w:trPr>
        <w:tc>
          <w:tcPr>
            <w:tcW w:w="340" w:type="dxa"/>
            <w:vAlign w:val="bottom"/>
            <w:gridSpan w:val="3"/>
          </w:tcPr>
          <w:p>
            <w:pPr>
              <w:ind w:left="20"/>
              <w:spacing w:after="0" w:line="150"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w:t>
              </w:r>
            </w:hyperlink>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gridSpan w:val="17"/>
          </w:tcPr>
          <w:p>
            <w:pPr>
              <w:spacing w:after="0" w:line="150"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2025, File No. 333-290834).</w:t>
              </w:r>
            </w:hyperlink>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9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6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Employment Agreement of Daniel Tate (incorporated by reference to Exhibit 10.5 to the Company’s Registration Statement on Form S-1, filed with the SEC on October 10,</w:t>
              </w:r>
            </w:hyperlink>
          </w:p>
        </w:tc>
        <w:tc>
          <w:tcPr>
            <w:tcW w:w="280" w:type="dxa"/>
            <w:vAlign w:val="bottom"/>
            <w:gridSpan w:val="9"/>
          </w:tcPr>
          <w:p>
            <w:pPr>
              <w:spacing w:after="0"/>
              <w:rPr>
                <w:sz w:val="16"/>
                <w:szCs w:val="16"/>
                <w:color w:val="auto"/>
              </w:rPr>
            </w:pPr>
          </w:p>
        </w:tc>
      </w:tr>
      <w:tr>
        <w:trPr>
          <w:trHeight w:val="150"/>
        </w:trPr>
        <w:tc>
          <w:tcPr>
            <w:tcW w:w="340" w:type="dxa"/>
            <w:vAlign w:val="bottom"/>
            <w:gridSpan w:val="3"/>
          </w:tcPr>
          <w:p>
            <w:pPr>
              <w:ind w:left="20"/>
              <w:spacing w:after="0" w:line="150"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5</w:t>
              </w:r>
            </w:hyperlink>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gridSpan w:val="17"/>
          </w:tcPr>
          <w:p>
            <w:pPr>
              <w:spacing w:after="0" w:line="150"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2025, File No. 333-290834).</w:t>
              </w:r>
            </w:hyperlink>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9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17"/>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Consulting Agreement of William Chess (incorporated by reference to Exhibit 10.6 to the Company’s Registration Statement on Form S-1, filed with the SEC on October 10,</w:t>
              </w:r>
            </w:hyperlink>
          </w:p>
        </w:tc>
      </w:tr>
      <w:tr>
        <w:trPr>
          <w:trHeight w:val="150"/>
        </w:trPr>
        <w:tc>
          <w:tcPr>
            <w:tcW w:w="340" w:type="dxa"/>
            <w:vAlign w:val="bottom"/>
            <w:gridSpan w:val="3"/>
          </w:tcPr>
          <w:p>
            <w:pPr>
              <w:ind w:left="20"/>
              <w:spacing w:after="0" w:line="150"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6</w:t>
              </w:r>
            </w:hyperlink>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10"/>
          </w:tcPr>
          <w:p>
            <w:pPr>
              <w:spacing w:after="0" w:line="150"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2025, File No. 333-290834).</w:t>
              </w:r>
            </w:hyperlink>
          </w:p>
        </w:tc>
        <w:tc>
          <w:tcPr>
            <w:tcW w:w="220" w:type="dxa"/>
            <w:vAlign w:val="bottom"/>
            <w:gridSpan w:val="7"/>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9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tcBorders>
              <w:bottom w:val="single" w:sz="8" w:color="0000FF"/>
            </w:tcBorders>
            <w:gridSpan w:val="7"/>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Appointment Agreement of Simon Lee (incorporated by reference to Exhibit 10.7 to the Company’s Registration Statement on Form S-1, filed with the SEC on October 10,</w:t>
              </w:r>
            </w:hyperlink>
          </w:p>
        </w:tc>
        <w:tc>
          <w:tcPr>
            <w:tcW w:w="300" w:type="dxa"/>
            <w:vAlign w:val="bottom"/>
            <w:gridSpan w:val="10"/>
          </w:tcPr>
          <w:p>
            <w:pPr>
              <w:spacing w:after="0"/>
              <w:rPr>
                <w:sz w:val="16"/>
                <w:szCs w:val="16"/>
                <w:color w:val="auto"/>
              </w:rPr>
            </w:pPr>
          </w:p>
        </w:tc>
      </w:tr>
      <w:tr>
        <w:trPr>
          <w:trHeight w:val="150"/>
        </w:trPr>
        <w:tc>
          <w:tcPr>
            <w:tcW w:w="340" w:type="dxa"/>
            <w:vAlign w:val="bottom"/>
            <w:gridSpan w:val="3"/>
          </w:tcPr>
          <w:p>
            <w:pPr>
              <w:ind w:left="20"/>
              <w:spacing w:after="0" w:line="150"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7</w:t>
              </w:r>
            </w:hyperlink>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gridSpan w:val="17"/>
          </w:tcPr>
          <w:p>
            <w:pPr>
              <w:spacing w:after="0" w:line="150"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2025, File No. 333-290834).</w:t>
              </w:r>
            </w:hyperlink>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20" w:type="dxa"/>
            <w:vAlign w:val="bottom"/>
            <w:gridSpan w:val="9"/>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4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Appointment Agreement of Kimberly White (incorporated by reference to Exhibit 10.8 to the Company’s Registration Statement on Form S-1, filed with the SEC on October</w:t>
              </w:r>
            </w:hyperlink>
          </w:p>
        </w:tc>
        <w:tc>
          <w:tcPr>
            <w:tcW w:w="200" w:type="dxa"/>
            <w:vAlign w:val="bottom"/>
            <w:gridSpan w:val="6"/>
          </w:tcPr>
          <w:p>
            <w:pPr>
              <w:spacing w:after="0"/>
              <w:rPr>
                <w:sz w:val="16"/>
                <w:szCs w:val="16"/>
                <w:color w:val="auto"/>
              </w:rPr>
            </w:pPr>
          </w:p>
        </w:tc>
      </w:tr>
      <w:tr>
        <w:trPr>
          <w:trHeight w:val="150"/>
        </w:trPr>
        <w:tc>
          <w:tcPr>
            <w:tcW w:w="340" w:type="dxa"/>
            <w:vAlign w:val="bottom"/>
            <w:gridSpan w:val="3"/>
          </w:tcPr>
          <w:p>
            <w:pPr>
              <w:ind w:left="20"/>
              <w:spacing w:after="0" w:line="150" w:lineRule="exact"/>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8</w:t>
              </w:r>
            </w:hyperlink>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gridSpan w:val="17"/>
          </w:tcPr>
          <w:p>
            <w:pPr>
              <w:spacing w:after="0" w:line="150" w:lineRule="exact"/>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10, 2025, File No. 333-290834).</w:t>
              </w:r>
            </w:hyperlink>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8020" w:type="dxa"/>
            <w:vAlign w:val="bottom"/>
            <w:gridSpan w:val="9"/>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Appointment Agreement of Benjamin Ginsberg (incorporated by reference to Exhibit 10.9 to the Company’s Registration Statement on Form S-1, filed with the SEC on October</w:t>
              </w:r>
            </w:hyperlink>
          </w:p>
        </w:tc>
        <w:tc>
          <w:tcPr>
            <w:tcW w:w="20" w:type="dxa"/>
            <w:vAlign w:val="bottom"/>
          </w:tcPr>
          <w:p>
            <w:pPr>
              <w:spacing w:after="0"/>
              <w:rPr>
                <w:sz w:val="16"/>
                <w:szCs w:val="16"/>
                <w:color w:val="auto"/>
              </w:rPr>
            </w:pPr>
          </w:p>
        </w:tc>
      </w:tr>
      <w:tr>
        <w:trPr>
          <w:trHeight w:val="150"/>
        </w:trPr>
        <w:tc>
          <w:tcPr>
            <w:tcW w:w="340" w:type="dxa"/>
            <w:vAlign w:val="bottom"/>
            <w:gridSpan w:val="3"/>
          </w:tcPr>
          <w:p>
            <w:pPr>
              <w:ind w:left="20"/>
              <w:spacing w:after="0" w:line="150"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9</w:t>
              </w:r>
            </w:hyperlink>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gridSpan w:val="17"/>
          </w:tcPr>
          <w:p>
            <w:pPr>
              <w:spacing w:after="0" w:line="150"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10, 2025, File No. 333-290834).</w:t>
              </w:r>
            </w:hyperlink>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81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17"/>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Form of Appointment Agreement of Charles D. Brown (incorporated by reference to Exhibit 10.10 to the Company’s Registration Statement on Form S-1, filed with the SEC on</w:t>
              </w:r>
            </w:hyperlink>
          </w:p>
        </w:tc>
      </w:tr>
      <w:tr>
        <w:trPr>
          <w:trHeight w:val="150"/>
        </w:trPr>
        <w:tc>
          <w:tcPr>
            <w:tcW w:w="1140" w:type="dxa"/>
            <w:vAlign w:val="bottom"/>
            <w:gridSpan w:val="4"/>
          </w:tcPr>
          <w:p>
            <w:pPr>
              <w:ind w:left="20"/>
              <w:spacing w:after="0" w:line="150"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10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15"/>
          </w:tcPr>
          <w:p>
            <w:pPr>
              <w:spacing w:after="0" w:line="150"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October 10, 2025, File No. 333-290834).</w:t>
              </w:r>
            </w:hyperlink>
          </w:p>
        </w:tc>
        <w:tc>
          <w:tcPr>
            <w:tcW w:w="40" w:type="dxa"/>
            <w:vAlign w:val="bottom"/>
            <w:gridSpan w:val="2"/>
          </w:tcPr>
          <w:p>
            <w:pPr>
              <w:spacing w:after="0"/>
              <w:rPr>
                <w:sz w:val="13"/>
                <w:szCs w:val="13"/>
                <w:color w:val="auto"/>
              </w:rPr>
            </w:pPr>
          </w:p>
        </w:tc>
      </w:tr>
      <w:tr>
        <w:trPr>
          <w:trHeight w:val="913"/>
        </w:trPr>
        <w:tc>
          <w:tcPr>
            <w:tcW w:w="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Borders>
              <w:top w:val="single" w:sz="8" w:color="0000FF"/>
            </w:tcBorders>
            <w:gridSpan w:val="3"/>
          </w:tcPr>
          <w:p>
            <w:pPr>
              <w:spacing w:after="0"/>
              <w:rPr>
                <w:sz w:val="24"/>
                <w:szCs w:val="24"/>
                <w:color w:val="auto"/>
              </w:rPr>
            </w:pPr>
          </w:p>
        </w:tc>
        <w:tc>
          <w:tcPr>
            <w:tcW w:w="2640" w:type="dxa"/>
            <w:vAlign w:val="bottom"/>
            <w:gridSpan w:val="2"/>
          </w:tcPr>
          <w:p>
            <w:pPr>
              <w:jc w:val="right"/>
              <w:ind w:right="376"/>
              <w:spacing w:after="0"/>
              <w:rPr>
                <w:sz w:val="20"/>
                <w:szCs w:val="20"/>
                <w:color w:val="auto"/>
              </w:rPr>
            </w:pPr>
            <w:r>
              <w:rPr>
                <w:rFonts w:ascii="Times New Roman" w:cs="Times New Roman" w:eastAsia="Times New Roman" w:hAnsi="Times New Roman"/>
                <w:sz w:val="14"/>
                <w:szCs w:val="14"/>
                <w:color w:val="auto"/>
              </w:rPr>
              <w:t>105</w:t>
            </w:r>
          </w:p>
        </w:tc>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46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08" w:name="page109"/>
    <w:bookmarkEnd w:id="108"/>
    <w:p>
      <w:pPr>
        <w:spacing w:after="0" w:line="109" w:lineRule="exact"/>
        <w:rPr>
          <w:sz w:val="20"/>
          <w:szCs w:val="20"/>
          <w:color w:val="auto"/>
        </w:rPr>
      </w:pPr>
    </w:p>
    <w:tbl>
      <w:tblPr>
        <w:tblLayout w:type="fixed"/>
        <w:tblInd w:w="15"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20" w:type="dxa"/>
            <w:vAlign w:val="bottom"/>
            <w:tcBorders>
              <w:bottom w:val="single" w:sz="8" w:color="0000FF"/>
            </w:tcBorders>
            <w:gridSpan w:val="22"/>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Form of Appointment Agreement of Kathleen L. Casey (incorporated by reference to Exhibit 10.11 to the Company’s Registration Statement on Form S-1, filed with the SEC on</w:t>
              </w:r>
            </w:hyperlink>
          </w:p>
        </w:tc>
      </w:tr>
      <w:tr>
        <w:trPr>
          <w:trHeight w:val="150"/>
        </w:trPr>
        <w:tc>
          <w:tcPr>
            <w:tcW w:w="320" w:type="dxa"/>
            <w:vAlign w:val="bottom"/>
            <w:gridSpan w:val="2"/>
          </w:tcPr>
          <w:p>
            <w:pPr>
              <w:spacing w:after="0" w:line="150" w:lineRule="exact"/>
              <w:rPr>
                <w:rFonts w:ascii="Times New Roman" w:cs="Times New Roman" w:eastAsia="Times New Roman" w:hAnsi="Times New Roman"/>
                <w:sz w:val="14"/>
                <w:szCs w:val="14"/>
                <w:color w:val="0000FF"/>
                <w:w w:val="95"/>
              </w:rPr>
            </w:pPr>
            <w:hyperlink r:id="rId143">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11</w:t>
              </w:r>
            </w:hyperlink>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20" w:type="dxa"/>
            <w:vAlign w:val="bottom"/>
            <w:gridSpan w:val="22"/>
          </w:tcPr>
          <w:p>
            <w:pPr>
              <w:spacing w:after="0" w:line="150" w:lineRule="exact"/>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October 10, 2025, File No. 333-290834).</w:t>
              </w:r>
            </w:hyperlink>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70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Credit Agreement dated February 28, 2023, among, inter alios, Public Policy Holding Company, Inc., as Borrower, and Bank of America, N.A., as Lender (incorporated by</w:t>
              </w:r>
            </w:hyperlink>
          </w:p>
        </w:tc>
        <w:tc>
          <w:tcPr>
            <w:tcW w:w="320" w:type="dxa"/>
            <w:vAlign w:val="bottom"/>
            <w:gridSpan w:val="8"/>
          </w:tcPr>
          <w:p>
            <w:pPr>
              <w:spacing w:after="0"/>
              <w:rPr>
                <w:sz w:val="16"/>
                <w:szCs w:val="16"/>
                <w:color w:val="auto"/>
              </w:rPr>
            </w:pPr>
          </w:p>
        </w:tc>
      </w:tr>
      <w:tr>
        <w:trPr>
          <w:trHeight w:val="150"/>
        </w:trPr>
        <w:tc>
          <w:tcPr>
            <w:tcW w:w="320" w:type="dxa"/>
            <w:vAlign w:val="bottom"/>
            <w:tcBorders>
              <w:bottom w:val="single" w:sz="8" w:color="0000FF"/>
            </w:tcBorders>
            <w:gridSpan w:val="2"/>
          </w:tcPr>
          <w:p>
            <w:pPr>
              <w:spacing w:after="0" w:line="150" w:lineRule="exact"/>
              <w:rPr>
                <w:rFonts w:ascii="Times New Roman" w:cs="Times New Roman" w:eastAsia="Times New Roman" w:hAnsi="Times New Roman"/>
                <w:sz w:val="14"/>
                <w:szCs w:val="14"/>
                <w:color w:val="0000FF"/>
                <w:w w:val="95"/>
              </w:rPr>
            </w:pPr>
            <w:hyperlink r:id="rId144">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12</w:t>
              </w:r>
            </w:hyperlink>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40" w:type="dxa"/>
            <w:vAlign w:val="bottom"/>
            <w:tcBorders>
              <w:bottom w:val="single" w:sz="8" w:color="0000FF"/>
            </w:tcBorders>
            <w:gridSpan w:val="10"/>
          </w:tcPr>
          <w:p>
            <w:pPr>
              <w:spacing w:after="0" w:line="150"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reference to Exhibit 10.12 to the Company’s Registration Statement on Form S-1, filed with the SEC on October 10, 2025, File No. 333-290834).</w:t>
              </w:r>
            </w:hyperlink>
          </w:p>
        </w:tc>
        <w:tc>
          <w:tcPr>
            <w:tcW w:w="1780" w:type="dxa"/>
            <w:vAlign w:val="bottom"/>
            <w:gridSpan w:val="12"/>
          </w:tcPr>
          <w:p>
            <w:pPr>
              <w:spacing w:after="0"/>
              <w:rPr>
                <w:sz w:val="13"/>
                <w:szCs w:val="13"/>
                <w:color w:val="auto"/>
              </w:rPr>
            </w:pPr>
          </w:p>
        </w:tc>
      </w:tr>
      <w:tr>
        <w:trPr>
          <w:trHeight w:val="192"/>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8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First Amendment to the Credit Agreement dated February 28, 2023, among, inter alios, Public Policy Holding Company, Inc., as Borrower, and Bank of America, N.A., as</w:t>
              </w:r>
            </w:hyperlink>
          </w:p>
        </w:tc>
        <w:tc>
          <w:tcPr>
            <w:tcW w:w="340" w:type="dxa"/>
            <w:vAlign w:val="bottom"/>
            <w:gridSpan w:val="9"/>
          </w:tcPr>
          <w:p>
            <w:pPr>
              <w:spacing w:after="0"/>
              <w:rPr>
                <w:sz w:val="16"/>
                <w:szCs w:val="16"/>
                <w:color w:val="auto"/>
              </w:rPr>
            </w:pPr>
          </w:p>
        </w:tc>
      </w:tr>
      <w:tr>
        <w:trPr>
          <w:trHeight w:val="150"/>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60" w:type="dxa"/>
            <w:vAlign w:val="bottom"/>
            <w:tcBorders>
              <w:bottom w:val="single" w:sz="8" w:color="0000FF"/>
            </w:tcBorders>
            <w:gridSpan w:val="18"/>
          </w:tcPr>
          <w:p>
            <w:pPr>
              <w:spacing w:after="0" w:line="150"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Lender, dated April 30, 2024 (incorporated by reference to Exhibit 10.13 to the Company’s Registration Statement on Form S-1, filed with the SEC on October 10, 2025, File</w:t>
              </w:r>
            </w:hyperlink>
          </w:p>
        </w:tc>
        <w:tc>
          <w:tcPr>
            <w:tcW w:w="160" w:type="dxa"/>
            <w:vAlign w:val="bottom"/>
            <w:gridSpan w:val="4"/>
          </w:tcPr>
          <w:p>
            <w:pPr>
              <w:spacing w:after="0"/>
              <w:rPr>
                <w:sz w:val="13"/>
                <w:szCs w:val="13"/>
                <w:color w:val="auto"/>
              </w:rPr>
            </w:pPr>
          </w:p>
        </w:tc>
      </w:tr>
      <w:tr>
        <w:trPr>
          <w:trHeight w:val="150"/>
        </w:trPr>
        <w:tc>
          <w:tcPr>
            <w:tcW w:w="320" w:type="dxa"/>
            <w:vAlign w:val="bottom"/>
            <w:gridSpan w:val="2"/>
          </w:tcPr>
          <w:p>
            <w:pPr>
              <w:spacing w:after="0" w:line="150" w:lineRule="exact"/>
              <w:rPr>
                <w:rFonts w:ascii="Times New Roman" w:cs="Times New Roman" w:eastAsia="Times New Roman" w:hAnsi="Times New Roman"/>
                <w:sz w:val="14"/>
                <w:szCs w:val="14"/>
                <w:color w:val="0000FF"/>
                <w:w w:val="95"/>
              </w:rPr>
            </w:pPr>
            <w:hyperlink r:id="rId145">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13</w:t>
              </w:r>
            </w:hyperlink>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20" w:type="dxa"/>
            <w:vAlign w:val="bottom"/>
            <w:gridSpan w:val="22"/>
          </w:tcPr>
          <w:p>
            <w:pPr>
              <w:spacing w:after="0" w:line="150"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No. 333-290834).</w:t>
              </w:r>
            </w:hyperlink>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40" w:type="dxa"/>
            <w:vAlign w:val="bottom"/>
            <w:tcBorders>
              <w:bottom w:val="single" w:sz="8" w:color="0000FF"/>
            </w:tcBorders>
            <w:gridSpan w:val="17"/>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Second Amendment to the Credit Agreement dated February 28, 2023, among, inter alios, Public Policy Holding Company, Inc., as Borrower, and Bank of America, N.A., as</w:t>
              </w:r>
            </w:hyperlink>
          </w:p>
        </w:tc>
        <w:tc>
          <w:tcPr>
            <w:tcW w:w="180" w:type="dxa"/>
            <w:vAlign w:val="bottom"/>
            <w:gridSpan w:val="5"/>
          </w:tcPr>
          <w:p>
            <w:pPr>
              <w:spacing w:after="0"/>
              <w:rPr>
                <w:sz w:val="16"/>
                <w:szCs w:val="16"/>
                <w:color w:val="auto"/>
              </w:rPr>
            </w:pPr>
          </w:p>
        </w:tc>
      </w:tr>
      <w:tr>
        <w:trPr>
          <w:trHeight w:val="150"/>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20" w:type="dxa"/>
            <w:vAlign w:val="bottom"/>
            <w:gridSpan w:val="22"/>
          </w:tcPr>
          <w:p>
            <w:pPr>
              <w:spacing w:after="0" w:line="150"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Lender, dated June 6, 2024 (incorporated by reference to Exhibit 10.14 to the Company’s Registration Statement on Form S-1, filed with the SEC on October 10, 2025, File No.</w:t>
              </w:r>
            </w:hyperlink>
          </w:p>
        </w:tc>
      </w:tr>
      <w:tr>
        <w:trPr>
          <w:trHeight w:val="150"/>
        </w:trPr>
        <w:tc>
          <w:tcPr>
            <w:tcW w:w="320" w:type="dxa"/>
            <w:vAlign w:val="bottom"/>
            <w:gridSpan w:val="2"/>
          </w:tcPr>
          <w:p>
            <w:pPr>
              <w:spacing w:after="0" w:line="150" w:lineRule="exact"/>
              <w:rPr>
                <w:rFonts w:ascii="Times New Roman" w:cs="Times New Roman" w:eastAsia="Times New Roman" w:hAnsi="Times New Roman"/>
                <w:sz w:val="14"/>
                <w:szCs w:val="14"/>
                <w:color w:val="0000FF"/>
                <w:w w:val="95"/>
              </w:rPr>
            </w:pPr>
            <w:hyperlink r:id="rId146">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14</w:t>
              </w:r>
            </w:hyperlink>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Borders>
              <w:top w:val="single" w:sz="8" w:color="0000FF"/>
            </w:tcBorders>
            <w:gridSpan w:val="2"/>
          </w:tcPr>
          <w:p>
            <w:pPr>
              <w:spacing w:after="0" w:line="150"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333-290834).</w:t>
              </w:r>
            </w:hyperlink>
          </w:p>
        </w:tc>
        <w:tc>
          <w:tcPr>
            <w:tcW w:w="4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20" w:type="dxa"/>
            <w:vAlign w:val="bottom"/>
            <w:gridSpan w:val="22"/>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Third Amendment to the Credit Agreement dated February 28, 2023, among, inter alios, Public Policy Holding Company, Inc., as Borrower, and Bank of America, N.A., as</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20" w:type="dxa"/>
            <w:vAlign w:val="bottom"/>
            <w:gridSpan w:val="22"/>
          </w:tcPr>
          <w:p>
            <w:pPr>
              <w:spacing w:after="0" w:line="150"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Lender, dated January 24, 2025 (incorporated by reference to Exhibit 10.15 to the Company’s Registration Statement on Form S-1, filed with the SEC on October 10, 2025, File</w:t>
              </w:r>
            </w:hyperlink>
          </w:p>
        </w:tc>
      </w:tr>
      <w:tr>
        <w:trPr>
          <w:trHeight w:val="150"/>
        </w:trPr>
        <w:tc>
          <w:tcPr>
            <w:tcW w:w="320" w:type="dxa"/>
            <w:vAlign w:val="bottom"/>
            <w:gridSpan w:val="2"/>
          </w:tcPr>
          <w:p>
            <w:pPr>
              <w:spacing w:after="0" w:line="150" w:lineRule="exact"/>
              <w:rPr>
                <w:rFonts w:ascii="Times New Roman" w:cs="Times New Roman" w:eastAsia="Times New Roman" w:hAnsi="Times New Roman"/>
                <w:sz w:val="14"/>
                <w:szCs w:val="14"/>
                <w:color w:val="0000FF"/>
                <w:w w:val="95"/>
              </w:rPr>
            </w:pPr>
            <w:hyperlink r:id="rId147">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15</w:t>
              </w:r>
            </w:hyperlink>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980" w:type="dxa"/>
            <w:vAlign w:val="bottom"/>
            <w:tcBorders>
              <w:top w:val="single" w:sz="8" w:color="0000FF"/>
            </w:tcBorders>
            <w:gridSpan w:val="21"/>
          </w:tcPr>
          <w:p>
            <w:pPr>
              <w:spacing w:after="0" w:line="150"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No. 333-290834).</w:t>
              </w:r>
            </w:hyperlink>
          </w:p>
        </w:tc>
        <w:tc>
          <w:tcPr>
            <w:tcW w:w="40" w:type="dxa"/>
            <w:vAlign w:val="bottom"/>
          </w:tcPr>
          <w:p>
            <w:pPr>
              <w:spacing w:after="0"/>
              <w:rPr>
                <w:sz w:val="13"/>
                <w:szCs w:val="13"/>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16†</w:t>
            </w:r>
          </w:p>
        </w:tc>
        <w:tc>
          <w:tcPr>
            <w:tcW w:w="100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Public Policy Holding Company, Inc. 2021 Omnibus Incentive Plan.</w:t>
            </w:r>
          </w:p>
        </w:tc>
      </w:tr>
      <w:tr>
        <w:trPr>
          <w:trHeight w:val="20"/>
        </w:trPr>
        <w:tc>
          <w:tcPr>
            <w:tcW w:w="2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2"/>
        </w:trPr>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17†</w:t>
            </w:r>
          </w:p>
        </w:tc>
        <w:tc>
          <w:tcPr>
            <w:tcW w:w="100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Amendment No. 1 to Public Policy Holding Company, Inc. 2021 Omnibus Incentive Plan.</w:t>
            </w:r>
          </w:p>
        </w:tc>
      </w:tr>
      <w:tr>
        <w:trPr>
          <w:trHeight w:val="20"/>
        </w:trPr>
        <w:tc>
          <w:tcPr>
            <w:tcW w:w="2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2"/>
        </w:trPr>
        <w:tc>
          <w:tcPr>
            <w:tcW w:w="3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3"/>
              </w:rPr>
              <w:t>10.</w:t>
            </w:r>
            <w:r>
              <w:rPr>
                <w:rFonts w:ascii="Times New Roman" w:cs="Times New Roman" w:eastAsia="Times New Roman" w:hAnsi="Times New Roman"/>
                <w:sz w:val="14"/>
                <w:szCs w:val="14"/>
                <w:u w:val="single" w:color="auto"/>
                <w:color w:val="0000FF"/>
                <w:w w:val="93"/>
              </w:rPr>
              <w:t>18†</w:t>
            </w:r>
          </w:p>
        </w:tc>
        <w:tc>
          <w:tcPr>
            <w:tcW w:w="840" w:type="dxa"/>
            <w:vAlign w:val="bottom"/>
          </w:tcPr>
          <w:p>
            <w:pPr>
              <w:spacing w:after="0"/>
              <w:rPr>
                <w:sz w:val="16"/>
                <w:szCs w:val="16"/>
                <w:color w:val="auto"/>
              </w:rPr>
            </w:pPr>
          </w:p>
        </w:tc>
        <w:tc>
          <w:tcPr>
            <w:tcW w:w="100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Amendment No. 2 to Public Policy Holding Company, Inc. 2021 Omnibus Incentive Plan.</w:t>
            </w:r>
          </w:p>
        </w:tc>
      </w:tr>
      <w:tr>
        <w:trPr>
          <w:trHeight w:val="20"/>
        </w:trPr>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Borders>
              <w:bottom w:val="single" w:sz="8" w:color="0000FF"/>
            </w:tcBorders>
            <w:gridSpan w:val="2"/>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24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98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52"/>
        </w:trPr>
        <w:tc>
          <w:tcPr>
            <w:tcW w:w="1220" w:type="dxa"/>
            <w:vAlign w:val="bottom"/>
            <w:gridSpan w:val="4"/>
          </w:tcPr>
          <w:p>
            <w:pPr>
              <w:spacing w:after="0" w:line="152" w:lineRule="exact"/>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19†</w:t>
            </w:r>
          </w:p>
        </w:tc>
        <w:tc>
          <w:tcPr>
            <w:tcW w:w="1002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Amended and Restated Public Policy Holding Company 2021 Omnibus Incentive Plan</w:t>
            </w:r>
            <w:r>
              <w:rPr>
                <w:rFonts w:ascii="Times New Roman" w:cs="Times New Roman" w:eastAsia="Times New Roman" w:hAnsi="Times New Roman"/>
                <w:sz w:val="14"/>
                <w:szCs w:val="14"/>
                <w:color w:val="000000"/>
              </w:rPr>
              <w:t>.</w:t>
            </w:r>
          </w:p>
        </w:tc>
      </w:tr>
      <w:tr>
        <w:trPr>
          <w:trHeight w:val="192"/>
        </w:trPr>
        <w:tc>
          <w:tcPr>
            <w:tcW w:w="2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9"/>
              </w:rPr>
              <w:t>16.</w:t>
            </w:r>
            <w:r>
              <w:rPr>
                <w:rFonts w:ascii="Times New Roman" w:cs="Times New Roman" w:eastAsia="Times New Roman" w:hAnsi="Times New Roman"/>
                <w:sz w:val="14"/>
                <w:szCs w:val="14"/>
                <w:u w:val="single" w:color="auto"/>
                <w:color w:val="0000FF"/>
                <w:w w:val="89"/>
              </w:rPr>
              <w:t>1</w:t>
            </w: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40" w:type="dxa"/>
            <w:vAlign w:val="bottom"/>
          </w:tcPr>
          <w:p>
            <w:pPr>
              <w:spacing w:after="0"/>
              <w:rPr>
                <w:sz w:val="16"/>
                <w:szCs w:val="16"/>
                <w:color w:val="auto"/>
              </w:rPr>
            </w:pPr>
          </w:p>
        </w:tc>
        <w:tc>
          <w:tcPr>
            <w:tcW w:w="38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Letter of MN Blum LLC regarding change in certifying accountant.</w:t>
            </w:r>
          </w:p>
        </w:tc>
        <w:tc>
          <w:tcPr>
            <w:tcW w:w="1020" w:type="dxa"/>
            <w:vAlign w:val="bottom"/>
            <w:tcBorders>
              <w:top w:val="single" w:sz="8" w:color="0000FF"/>
            </w:tcBorders>
            <w:gridSpan w:val="2"/>
          </w:tcPr>
          <w:p>
            <w:pPr>
              <w:spacing w:after="0"/>
              <w:rPr>
                <w:sz w:val="16"/>
                <w:szCs w:val="16"/>
                <w:color w:val="auto"/>
              </w:rPr>
            </w:pPr>
          </w:p>
        </w:tc>
        <w:tc>
          <w:tcPr>
            <w:tcW w:w="5120" w:type="dxa"/>
            <w:vAlign w:val="bottom"/>
            <w:gridSpan w:val="14"/>
          </w:tcPr>
          <w:p>
            <w:pPr>
              <w:spacing w:after="0"/>
              <w:rPr>
                <w:sz w:val="16"/>
                <w:szCs w:val="16"/>
                <w:color w:val="auto"/>
              </w:rPr>
            </w:pPr>
          </w:p>
        </w:tc>
      </w:tr>
      <w:tr>
        <w:trPr>
          <w:trHeight w:val="192"/>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0000FF"/>
                <w:w w:val="89"/>
              </w:rPr>
              <w:t>16.</w:t>
            </w:r>
            <w:r>
              <w:rPr>
                <w:rFonts w:ascii="Times New Roman" w:cs="Times New Roman" w:eastAsia="Times New Roman" w:hAnsi="Times New Roman"/>
                <w:sz w:val="14"/>
                <w:szCs w:val="14"/>
                <w:u w:val="single" w:color="auto"/>
                <w:color w:val="0000FF"/>
                <w:w w:val="89"/>
              </w:rPr>
              <w:t>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Letter of Crowe U.K. LLP regarding change in certifying accountant.</w:t>
            </w:r>
          </w:p>
        </w:tc>
      </w:tr>
      <w:tr>
        <w:trPr>
          <w:trHeight w:val="192"/>
        </w:trPr>
        <w:tc>
          <w:tcPr>
            <w:tcW w:w="2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9"/>
              </w:rPr>
              <w:t>19.</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Securities Trading Policy.</w:t>
            </w:r>
          </w:p>
        </w:tc>
        <w:tc>
          <w:tcPr>
            <w:tcW w:w="2460" w:type="dxa"/>
            <w:vAlign w:val="bottom"/>
            <w:tcBorders>
              <w:top w:val="single" w:sz="8" w:color="0000FF"/>
            </w:tcBorders>
            <w:gridSpan w:val="4"/>
          </w:tcPr>
          <w:p>
            <w:pPr>
              <w:spacing w:after="0"/>
              <w:rPr>
                <w:sz w:val="16"/>
                <w:szCs w:val="16"/>
                <w:color w:val="auto"/>
              </w:rPr>
            </w:pPr>
          </w:p>
        </w:tc>
        <w:tc>
          <w:tcPr>
            <w:tcW w:w="6100" w:type="dxa"/>
            <w:vAlign w:val="bottom"/>
            <w:gridSpan w:val="15"/>
          </w:tcPr>
          <w:p>
            <w:pPr>
              <w:spacing w:after="0"/>
              <w:rPr>
                <w:sz w:val="16"/>
                <w:szCs w:val="16"/>
                <w:color w:val="auto"/>
              </w:rPr>
            </w:pPr>
          </w:p>
        </w:tc>
      </w:tr>
      <w:tr>
        <w:trPr>
          <w:trHeight w:val="192"/>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20" w:type="dxa"/>
            <w:vAlign w:val="bottom"/>
            <w:gridSpan w:val="22"/>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Subsidiaries of Public Policy Holding Company, Inc. (incorporated by reference to Exhibit 21.1 to the Company’s Registration Statement on Form S-1, filed with the SEC on</w:t>
              </w:r>
            </w:hyperlink>
          </w:p>
        </w:tc>
      </w:tr>
      <w:tr>
        <w:trPr>
          <w:trHeight w:val="150"/>
        </w:trPr>
        <w:tc>
          <w:tcPr>
            <w:tcW w:w="240" w:type="dxa"/>
            <w:vAlign w:val="bottom"/>
          </w:tcPr>
          <w:p>
            <w:pPr>
              <w:spacing w:after="0" w:line="150" w:lineRule="exact"/>
              <w:rPr>
                <w:rFonts w:ascii="Times New Roman" w:cs="Times New Roman" w:eastAsia="Times New Roman" w:hAnsi="Times New Roman"/>
                <w:sz w:val="14"/>
                <w:szCs w:val="14"/>
                <w:color w:val="0000FF"/>
                <w:w w:val="89"/>
              </w:rPr>
            </w:pPr>
            <w:hyperlink r:id="rId148">
              <w:r>
                <w:rPr>
                  <w:rFonts w:ascii="Times New Roman" w:cs="Times New Roman" w:eastAsia="Times New Roman" w:hAnsi="Times New Roman"/>
                  <w:sz w:val="14"/>
                  <w:szCs w:val="14"/>
                  <w:color w:val="0000FF"/>
                  <w:w w:val="89"/>
                </w:rPr>
                <w:t>21.</w:t>
              </w:r>
              <w:r>
                <w:rPr>
                  <w:rFonts w:ascii="Times New Roman" w:cs="Times New Roman" w:eastAsia="Times New Roman" w:hAnsi="Times New Roman"/>
                  <w:sz w:val="14"/>
                  <w:szCs w:val="14"/>
                  <w:u w:val="single" w:color="auto"/>
                  <w:color w:val="0000FF"/>
                  <w:w w:val="89"/>
                </w:rPr>
                <w:t>1</w:t>
              </w:r>
            </w:hyperlink>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20" w:type="dxa"/>
            <w:vAlign w:val="bottom"/>
            <w:tcBorders>
              <w:top w:val="single" w:sz="8" w:color="0000FF"/>
            </w:tcBorders>
            <w:gridSpan w:val="16"/>
          </w:tcPr>
          <w:p>
            <w:pPr>
              <w:spacing w:after="0" w:line="150"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October 10, 2025, File No. 333-290834).</w:t>
              </w:r>
            </w:hyperlink>
          </w:p>
        </w:tc>
        <w:tc>
          <w:tcPr>
            <w:tcW w:w="200" w:type="dxa"/>
            <w:vAlign w:val="bottom"/>
            <w:gridSpan w:val="6"/>
          </w:tcPr>
          <w:p>
            <w:pPr>
              <w:spacing w:after="0"/>
              <w:rPr>
                <w:sz w:val="13"/>
                <w:szCs w:val="13"/>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04"/>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9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Rule 13a-14(a) or 15d-14(a) of the Securities Exchange Act of 1934, as amended, as adopted pursuant to Section 302 of the</w:t>
            </w:r>
          </w:p>
        </w:tc>
        <w:tc>
          <w:tcPr>
            <w:tcW w:w="60" w:type="dxa"/>
            <w:vAlign w:val="bottom"/>
            <w:gridSpan w:val="2"/>
          </w:tcPr>
          <w:p>
            <w:pPr>
              <w:spacing w:after="0"/>
              <w:rPr>
                <w:sz w:val="24"/>
                <w:szCs w:val="24"/>
                <w:color w:val="auto"/>
              </w:rPr>
            </w:pPr>
          </w:p>
        </w:tc>
      </w:tr>
      <w:tr>
        <w:trPr>
          <w:trHeight w:val="150"/>
        </w:trPr>
        <w:tc>
          <w:tcPr>
            <w:tcW w:w="240" w:type="dxa"/>
            <w:vAlign w:val="bottom"/>
          </w:tcPr>
          <w:p>
            <w:pPr>
              <w:spacing w:after="0" w:line="150" w:lineRule="exact"/>
              <w:rPr>
                <w:sz w:val="20"/>
                <w:szCs w:val="20"/>
                <w:color w:val="auto"/>
              </w:rPr>
            </w:pPr>
            <w:r>
              <w:rPr>
                <w:rFonts w:ascii="Times New Roman" w:cs="Times New Roman" w:eastAsia="Times New Roman" w:hAnsi="Times New Roman"/>
                <w:sz w:val="14"/>
                <w:szCs w:val="14"/>
                <w:color w:val="0000FF"/>
                <w:w w:val="89"/>
              </w:rPr>
              <w:t>31.</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20" w:type="dxa"/>
            <w:vAlign w:val="bottom"/>
            <w:gridSpan w:val="22"/>
          </w:tcPr>
          <w:p>
            <w:pPr>
              <w:spacing w:after="0" w:line="150" w:lineRule="exact"/>
              <w:rPr>
                <w:sz w:val="20"/>
                <w:szCs w:val="20"/>
                <w:color w:val="auto"/>
              </w:rPr>
            </w:pPr>
            <w:r>
              <w:rPr>
                <w:rFonts w:ascii="Times New Roman" w:cs="Times New Roman" w:eastAsia="Times New Roman" w:hAnsi="Times New Roman"/>
                <w:sz w:val="14"/>
                <w:szCs w:val="14"/>
                <w:color w:val="0000FF"/>
              </w:rPr>
              <w:t>Sarbanes-Oxley Act of 2002.</w:t>
            </w: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67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2"/>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9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Rule 13a-14(a) or 15d-14(a) of the Securities Exchange Act of 1934, as amended, as adopted pursuant to Section 302 of the</w:t>
            </w:r>
          </w:p>
        </w:tc>
        <w:tc>
          <w:tcPr>
            <w:tcW w:w="100" w:type="dxa"/>
            <w:vAlign w:val="bottom"/>
            <w:gridSpan w:val="3"/>
          </w:tcPr>
          <w:p>
            <w:pPr>
              <w:spacing w:after="0"/>
              <w:rPr>
                <w:sz w:val="16"/>
                <w:szCs w:val="16"/>
                <w:color w:val="auto"/>
              </w:rPr>
            </w:pPr>
          </w:p>
        </w:tc>
      </w:tr>
      <w:tr>
        <w:trPr>
          <w:trHeight w:val="150"/>
        </w:trPr>
        <w:tc>
          <w:tcPr>
            <w:tcW w:w="240" w:type="dxa"/>
            <w:vAlign w:val="bottom"/>
          </w:tcPr>
          <w:p>
            <w:pPr>
              <w:spacing w:after="0" w:line="150" w:lineRule="exact"/>
              <w:rPr>
                <w:sz w:val="20"/>
                <w:szCs w:val="20"/>
                <w:color w:val="auto"/>
              </w:rPr>
            </w:pPr>
            <w:r>
              <w:rPr>
                <w:rFonts w:ascii="Times New Roman" w:cs="Times New Roman" w:eastAsia="Times New Roman" w:hAnsi="Times New Roman"/>
                <w:sz w:val="14"/>
                <w:szCs w:val="14"/>
                <w:color w:val="0000FF"/>
                <w:w w:val="89"/>
              </w:rPr>
              <w:t>31.</w:t>
            </w:r>
            <w:r>
              <w:rPr>
                <w:rFonts w:ascii="Times New Roman" w:cs="Times New Roman" w:eastAsia="Times New Roman" w:hAnsi="Times New Roman"/>
                <w:sz w:val="14"/>
                <w:szCs w:val="14"/>
                <w:u w:val="single" w:color="auto"/>
                <w:color w:val="0000FF"/>
                <w:w w:val="89"/>
              </w:rPr>
              <w:t>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20" w:type="dxa"/>
            <w:vAlign w:val="bottom"/>
            <w:gridSpan w:val="22"/>
          </w:tcPr>
          <w:p>
            <w:pPr>
              <w:spacing w:after="0" w:line="150" w:lineRule="exact"/>
              <w:rPr>
                <w:sz w:val="20"/>
                <w:szCs w:val="20"/>
                <w:color w:val="auto"/>
              </w:rPr>
            </w:pPr>
            <w:r>
              <w:rPr>
                <w:rFonts w:ascii="Times New Roman" w:cs="Times New Roman" w:eastAsia="Times New Roman" w:hAnsi="Times New Roman"/>
                <w:sz w:val="14"/>
                <w:szCs w:val="14"/>
                <w:color w:val="0000FF"/>
              </w:rPr>
              <w:t>Sarbanes-Oxley Act of 2002.</w:t>
            </w: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67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2"/>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0000FF"/>
                <w:w w:val="89"/>
              </w:rPr>
              <w:t>32.</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U.S.C. Section 1350, as adopted pursuant to Section 906 of the Sarbanes-Oxley Act of 2002.</w:t>
            </w:r>
          </w:p>
        </w:tc>
      </w:tr>
      <w:tr>
        <w:trPr>
          <w:trHeight w:val="192"/>
        </w:trPr>
        <w:tc>
          <w:tcPr>
            <w:tcW w:w="2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9"/>
              </w:rPr>
              <w:t>32.</w:t>
            </w:r>
            <w:r>
              <w:rPr>
                <w:rFonts w:ascii="Times New Roman" w:cs="Times New Roman" w:eastAsia="Times New Roman" w:hAnsi="Times New Roman"/>
                <w:sz w:val="14"/>
                <w:szCs w:val="14"/>
                <w:u w:val="single" w:color="auto"/>
                <w:color w:val="0000FF"/>
                <w:w w:val="89"/>
              </w:rPr>
              <w:t>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3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 1350, as adopted pursuant to Section 906 of the Sarbanes-Oxley Act of 2002.</w:t>
            </w:r>
          </w:p>
        </w:tc>
        <w:tc>
          <w:tcPr>
            <w:tcW w:w="1640" w:type="dxa"/>
            <w:vAlign w:val="bottom"/>
            <w:gridSpan w:val="10"/>
          </w:tcPr>
          <w:p>
            <w:pPr>
              <w:spacing w:after="0"/>
              <w:rPr>
                <w:sz w:val="16"/>
                <w:szCs w:val="16"/>
                <w:color w:val="auto"/>
              </w:rPr>
            </w:pPr>
          </w:p>
        </w:tc>
      </w:tr>
      <w:tr>
        <w:trPr>
          <w:trHeight w:val="192"/>
        </w:trPr>
        <w:tc>
          <w:tcPr>
            <w:tcW w:w="2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9"/>
              </w:rPr>
              <w:t>97.</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3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Clawback Policy.</w:t>
            </w:r>
          </w:p>
        </w:tc>
        <w:tc>
          <w:tcPr>
            <w:tcW w:w="1680" w:type="dxa"/>
            <w:vAlign w:val="bottom"/>
            <w:gridSpan w:val="11"/>
          </w:tcPr>
          <w:p>
            <w:pPr>
              <w:spacing w:after="0"/>
              <w:rPr>
                <w:sz w:val="16"/>
                <w:szCs w:val="16"/>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9040" w:type="dxa"/>
            <w:vAlign w:val="bottom"/>
            <w:gridSpan w:val="20"/>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2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The following financial information from PPHC, Inc.'s Annual Report on Form 10-K for the year ended December 31, 2025 formatted in Inline XBRL (Extensible Business</w:t>
            </w:r>
          </w:p>
        </w:tc>
      </w:tr>
      <w:tr>
        <w:trPr>
          <w:trHeight w:val="170"/>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2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Reporting Language) includes: (i) the Consolidated Balance Sheets, (ii) the Consolidated Statements of Operations and Comprehensive Loss, (iii) the Consolidated Statements</w:t>
            </w:r>
          </w:p>
        </w:tc>
      </w:tr>
      <w:tr>
        <w:trPr>
          <w:trHeight w:val="184"/>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2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of Stockholders' Equity, (iv) the Consolidated Statements of Cash Flows, and (v) Notes to Consolidated Financial Statements.</w:t>
            </w:r>
          </w:p>
        </w:tc>
      </w:tr>
    </w:tbl>
    <w:p>
      <w:pPr>
        <w:spacing w:after="0" w:line="28" w:lineRule="exact"/>
        <w:rPr>
          <w:sz w:val="20"/>
          <w:szCs w:val="20"/>
          <w:color w:val="auto"/>
        </w:rPr>
      </w:pPr>
    </w:p>
    <w:p>
      <w:pPr>
        <w:ind w:left="1235" w:hanging="1221"/>
        <w:spacing w:after="0"/>
        <w:tabs>
          <w:tab w:leader="none" w:pos="1235"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 (formatted as Inline XBRL and contained in Exhibit 101).</w:t>
      </w:r>
    </w:p>
    <w:p>
      <w:pPr>
        <w:spacing w:after="0" w:line="274" w:lineRule="exact"/>
        <w:rPr>
          <w:rFonts w:ascii="Times New Roman" w:cs="Times New Roman" w:eastAsia="Times New Roman" w:hAnsi="Times New Roman"/>
          <w:sz w:val="14"/>
          <w:szCs w:val="14"/>
          <w:color w:val="auto"/>
        </w:rPr>
      </w:pPr>
    </w:p>
    <w:p>
      <w:pPr>
        <w:ind w:left="115" w:hanging="115"/>
        <w:spacing w:after="0"/>
        <w:tabs>
          <w:tab w:leader="none" w:pos="115"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55"/>
          </w:cols>
          <w:pgMar w:left="305" w:top="1440" w:right="339" w:bottom="1440" w:gutter="0" w:footer="0" w:header="0"/>
        </w:sectPr>
      </w:pPr>
    </w:p>
    <w:bookmarkStart w:id="109" w:name="page110"/>
    <w:bookmarkEnd w:id="109"/>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440" w:right="1440"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0" w:lineRule="exact"/>
        <w:rPr>
          <w:sz w:val="20"/>
          <w:szCs w:val="20"/>
          <w:color w:val="auto"/>
        </w:rPr>
      </w:pPr>
    </w:p>
    <w:p>
      <w:pPr>
        <w:spacing w:after="0" w:line="394"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By:</w:t>
            </w:r>
          </w:p>
        </w:tc>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4120" w:type="dxa"/>
            <w:vAlign w:val="bottom"/>
            <w:tcBorders>
              <w:bottom w:val="single" w:sz="8" w:color="auto"/>
            </w:tcBorders>
          </w:tcPr>
          <w:p>
            <w:pPr>
              <w:jc w:val="center"/>
              <w:ind w:left="96"/>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3140" w:type="dxa"/>
            <w:vAlign w:val="bottom"/>
            <w:tcBorders>
              <w:bottom w:val="single" w:sz="8" w:color="auto"/>
            </w:tcBorders>
          </w:tcPr>
          <w:p>
            <w:pPr>
              <w:jc w:val="center"/>
              <w:ind w:left="96"/>
              <w:spacing w:after="0"/>
              <w:rPr>
                <w:sz w:val="20"/>
                <w:szCs w:val="20"/>
                <w:color w:val="auto"/>
              </w:rPr>
            </w:pPr>
            <w:r>
              <w:rPr>
                <w:rFonts w:ascii="Times New Roman" w:cs="Times New Roman" w:eastAsia="Times New Roman" w:hAnsi="Times New Roman"/>
                <w:sz w:val="13"/>
                <w:szCs w:val="13"/>
                <w:b w:val="1"/>
                <w:bCs w:val="1"/>
                <w:color w:val="auto"/>
                <w:w w:val="99"/>
              </w:rPr>
              <w:t>Date</w:t>
            </w:r>
          </w:p>
        </w:tc>
      </w:tr>
      <w:tr>
        <w:trPr>
          <w:trHeight w:val="245"/>
        </w:trPr>
        <w:tc>
          <w:tcPr>
            <w:tcW w:w="560" w:type="dxa"/>
            <w:vAlign w:val="bottom"/>
          </w:tcPr>
          <w:p>
            <w:pPr>
              <w:spacing w:after="0"/>
              <w:rPr>
                <w:sz w:val="21"/>
                <w:szCs w:val="21"/>
                <w:color w:val="auto"/>
              </w:rPr>
            </w:pPr>
          </w:p>
        </w:tc>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George Stewart Hall</w:t>
            </w:r>
          </w:p>
        </w:tc>
        <w:tc>
          <w:tcPr>
            <w:tcW w:w="412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auto"/>
                <w:w w:val="99"/>
              </w:rPr>
              <w:t>Chief Executive Officer</w:t>
            </w:r>
          </w:p>
        </w:tc>
        <w:tc>
          <w:tcPr>
            <w:tcW w:w="314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auto"/>
                <w:w w:val="99"/>
              </w:rPr>
              <w:t>March 31, 2026</w:t>
            </w:r>
          </w:p>
        </w:tc>
      </w:tr>
      <w:tr>
        <w:trPr>
          <w:trHeight w:val="174"/>
        </w:trPr>
        <w:tc>
          <w:tcPr>
            <w:tcW w:w="560" w:type="dxa"/>
            <w:vAlign w:val="bottom"/>
          </w:tcPr>
          <w:p>
            <w:pPr>
              <w:spacing w:after="0"/>
              <w:rPr>
                <w:sz w:val="15"/>
                <w:szCs w:val="15"/>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 George Stewart Hall</w:t>
            </w:r>
          </w:p>
        </w:tc>
        <w:tc>
          <w:tcPr>
            <w:tcW w:w="412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auto"/>
                <w:w w:val="97"/>
              </w:rPr>
              <w:t>(Principal Executive Officer)</w:t>
            </w:r>
          </w:p>
        </w:tc>
        <w:tc>
          <w:tcPr>
            <w:tcW w:w="3140" w:type="dxa"/>
            <w:vAlign w:val="bottom"/>
          </w:tcPr>
          <w:p>
            <w:pPr>
              <w:spacing w:after="0"/>
              <w:rPr>
                <w:sz w:val="15"/>
                <w:szCs w:val="15"/>
                <w:color w:val="auto"/>
              </w:rPr>
            </w:pPr>
          </w:p>
        </w:tc>
      </w:tr>
    </w:tbl>
    <w:p>
      <w:pPr>
        <w:spacing w:after="0" w:line="20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5680" w:type="dxa"/>
            <w:vAlign w:val="bottom"/>
            <w:tcBorders>
              <w:bottom w:val="single" w:sz="8" w:color="auto"/>
            </w:tcBorders>
          </w:tcPr>
          <w:p>
            <w:pPr>
              <w:jc w:val="center"/>
              <w:ind w:left="476"/>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2200" w:type="dxa"/>
            <w:vAlign w:val="bottom"/>
            <w:tcBorders>
              <w:bottom w:val="single" w:sz="8" w:color="auto"/>
            </w:tcBorders>
          </w:tcPr>
          <w:p>
            <w:pPr>
              <w:jc w:val="center"/>
              <w:ind w:left="476"/>
              <w:spacing w:after="0"/>
              <w:rPr>
                <w:sz w:val="20"/>
                <w:szCs w:val="20"/>
                <w:color w:val="auto"/>
              </w:rPr>
            </w:pPr>
            <w:r>
              <w:rPr>
                <w:rFonts w:ascii="Times New Roman" w:cs="Times New Roman" w:eastAsia="Times New Roman" w:hAnsi="Times New Roman"/>
                <w:sz w:val="13"/>
                <w:szCs w:val="13"/>
                <w:b w:val="1"/>
                <w:bCs w:val="1"/>
                <w:color w:val="auto"/>
                <w:w w:val="99"/>
              </w:rPr>
              <w:t>Date</w:t>
            </w:r>
          </w:p>
        </w:tc>
      </w:tr>
      <w:tr>
        <w:trPr>
          <w:trHeight w:val="245"/>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George Stewart Hall</w:t>
            </w:r>
          </w:p>
        </w:tc>
        <w:tc>
          <w:tcPr>
            <w:tcW w:w="5680" w:type="dxa"/>
            <w:vAlign w:val="bottom"/>
          </w:tcPr>
          <w:p>
            <w:pPr>
              <w:jc w:val="center"/>
              <w:ind w:left="476"/>
              <w:spacing w:after="0"/>
              <w:rPr>
                <w:sz w:val="20"/>
                <w:szCs w:val="20"/>
                <w:color w:val="auto"/>
              </w:rPr>
            </w:pPr>
            <w:r>
              <w:rPr>
                <w:rFonts w:ascii="Times New Roman" w:cs="Times New Roman" w:eastAsia="Times New Roman" w:hAnsi="Times New Roman"/>
                <w:sz w:val="13"/>
                <w:szCs w:val="13"/>
                <w:color w:val="auto"/>
                <w:w w:val="97"/>
              </w:rPr>
              <w:t>Chief Executive Officer</w:t>
            </w:r>
          </w:p>
        </w:tc>
        <w:tc>
          <w:tcPr>
            <w:tcW w:w="2200" w:type="dxa"/>
            <w:vAlign w:val="bottom"/>
          </w:tcPr>
          <w:p>
            <w:pPr>
              <w:jc w:val="center"/>
              <w:ind w:left="476"/>
              <w:spacing w:after="0"/>
              <w:rPr>
                <w:sz w:val="20"/>
                <w:szCs w:val="20"/>
                <w:color w:val="auto"/>
              </w:rPr>
            </w:pPr>
            <w:r>
              <w:rPr>
                <w:rFonts w:ascii="Times New Roman" w:cs="Times New Roman" w:eastAsia="Times New Roman" w:hAnsi="Times New Roman"/>
                <w:sz w:val="13"/>
                <w:szCs w:val="13"/>
                <w:color w:val="auto"/>
                <w:w w:val="99"/>
              </w:rPr>
              <w:t>March 31, 2026</w:t>
            </w:r>
          </w:p>
        </w:tc>
      </w:tr>
      <w:tr>
        <w:trPr>
          <w:trHeight w:val="174"/>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George Stewart Hall</w:t>
            </w:r>
          </w:p>
        </w:tc>
        <w:tc>
          <w:tcPr>
            <w:tcW w:w="5680" w:type="dxa"/>
            <w:vAlign w:val="bottom"/>
          </w:tcPr>
          <w:p>
            <w:pPr>
              <w:jc w:val="center"/>
              <w:ind w:left="476"/>
              <w:spacing w:after="0"/>
              <w:rPr>
                <w:sz w:val="20"/>
                <w:szCs w:val="20"/>
                <w:color w:val="auto"/>
              </w:rPr>
            </w:pPr>
            <w:r>
              <w:rPr>
                <w:rFonts w:ascii="Times New Roman" w:cs="Times New Roman" w:eastAsia="Times New Roman" w:hAnsi="Times New Roman"/>
                <w:sz w:val="13"/>
                <w:szCs w:val="13"/>
                <w:color w:val="auto"/>
                <w:w w:val="98"/>
              </w:rPr>
              <w:t>(Principal Executive Officer)</w:t>
            </w:r>
          </w:p>
        </w:tc>
        <w:tc>
          <w:tcPr>
            <w:tcW w:w="2200" w:type="dxa"/>
            <w:vAlign w:val="bottom"/>
          </w:tcPr>
          <w:p>
            <w:pPr>
              <w:spacing w:after="0"/>
              <w:rPr>
                <w:sz w:val="15"/>
                <w:szCs w:val="15"/>
                <w:color w:val="auto"/>
              </w:rPr>
            </w:pPr>
          </w:p>
        </w:tc>
      </w:tr>
      <w:tr>
        <w:trPr>
          <w:trHeight w:val="273"/>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Roeland Smits</w:t>
            </w:r>
          </w:p>
        </w:tc>
        <w:tc>
          <w:tcPr>
            <w:tcW w:w="5680" w:type="dxa"/>
            <w:vAlign w:val="bottom"/>
          </w:tcPr>
          <w:p>
            <w:pPr>
              <w:jc w:val="center"/>
              <w:ind w:left="476"/>
              <w:spacing w:after="0"/>
              <w:rPr>
                <w:sz w:val="20"/>
                <w:szCs w:val="20"/>
                <w:color w:val="auto"/>
              </w:rPr>
            </w:pPr>
            <w:r>
              <w:rPr>
                <w:rFonts w:ascii="Times New Roman" w:cs="Times New Roman" w:eastAsia="Times New Roman" w:hAnsi="Times New Roman"/>
                <w:sz w:val="13"/>
                <w:szCs w:val="13"/>
                <w:color w:val="auto"/>
                <w:w w:val="97"/>
              </w:rPr>
              <w:t>Chief Financial Officer</w:t>
            </w:r>
          </w:p>
        </w:tc>
        <w:tc>
          <w:tcPr>
            <w:tcW w:w="2200" w:type="dxa"/>
            <w:vAlign w:val="bottom"/>
          </w:tcPr>
          <w:p>
            <w:pPr>
              <w:jc w:val="center"/>
              <w:ind w:left="476"/>
              <w:spacing w:after="0"/>
              <w:rPr>
                <w:sz w:val="20"/>
                <w:szCs w:val="20"/>
                <w:color w:val="auto"/>
              </w:rPr>
            </w:pPr>
            <w:r>
              <w:rPr>
                <w:rFonts w:ascii="Times New Roman" w:cs="Times New Roman" w:eastAsia="Times New Roman" w:hAnsi="Times New Roman"/>
                <w:sz w:val="13"/>
                <w:szCs w:val="13"/>
                <w:color w:val="auto"/>
                <w:w w:val="99"/>
              </w:rPr>
              <w:t>March 31, 2026</w:t>
            </w:r>
          </w:p>
        </w:tc>
      </w:tr>
      <w:tr>
        <w:trPr>
          <w:trHeight w:val="174"/>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Roeland Smits</w:t>
            </w:r>
          </w:p>
        </w:tc>
        <w:tc>
          <w:tcPr>
            <w:tcW w:w="5680" w:type="dxa"/>
            <w:vAlign w:val="bottom"/>
          </w:tcPr>
          <w:p>
            <w:pPr>
              <w:jc w:val="center"/>
              <w:ind w:left="476"/>
              <w:spacing w:after="0"/>
              <w:rPr>
                <w:sz w:val="20"/>
                <w:szCs w:val="20"/>
                <w:color w:val="auto"/>
              </w:rPr>
            </w:pPr>
            <w:r>
              <w:rPr>
                <w:rFonts w:ascii="Times New Roman" w:cs="Times New Roman" w:eastAsia="Times New Roman" w:hAnsi="Times New Roman"/>
                <w:sz w:val="13"/>
                <w:szCs w:val="13"/>
                <w:color w:val="auto"/>
                <w:w w:val="97"/>
              </w:rPr>
              <w:t>(Principal Accounting Officer and Principal Financial Officer)</w:t>
            </w:r>
          </w:p>
        </w:tc>
        <w:tc>
          <w:tcPr>
            <w:tcW w:w="2200" w:type="dxa"/>
            <w:vAlign w:val="bottom"/>
          </w:tcPr>
          <w:p>
            <w:pPr>
              <w:spacing w:after="0"/>
              <w:rPr>
                <w:sz w:val="15"/>
                <w:szCs w:val="15"/>
                <w:color w:val="auto"/>
              </w:rPr>
            </w:pPr>
          </w:p>
        </w:tc>
      </w:tr>
      <w:tr>
        <w:trPr>
          <w:trHeight w:val="273"/>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Keenan Austin Reed</w:t>
            </w:r>
          </w:p>
        </w:tc>
        <w:tc>
          <w:tcPr>
            <w:tcW w:w="5680" w:type="dxa"/>
            <w:vAlign w:val="bottom"/>
          </w:tcPr>
          <w:p>
            <w:pPr>
              <w:jc w:val="center"/>
              <w:ind w:left="476"/>
              <w:spacing w:after="0"/>
              <w:rPr>
                <w:sz w:val="20"/>
                <w:szCs w:val="20"/>
                <w:color w:val="auto"/>
              </w:rPr>
            </w:pPr>
            <w:r>
              <w:rPr>
                <w:rFonts w:ascii="Times New Roman" w:cs="Times New Roman" w:eastAsia="Times New Roman" w:hAnsi="Times New Roman"/>
                <w:sz w:val="13"/>
                <w:szCs w:val="13"/>
                <w:color w:val="auto"/>
                <w:w w:val="99"/>
              </w:rPr>
              <w:t>Executive Director</w:t>
            </w:r>
          </w:p>
        </w:tc>
        <w:tc>
          <w:tcPr>
            <w:tcW w:w="2200" w:type="dxa"/>
            <w:vAlign w:val="bottom"/>
          </w:tcPr>
          <w:p>
            <w:pPr>
              <w:jc w:val="center"/>
              <w:ind w:left="476"/>
              <w:spacing w:after="0"/>
              <w:rPr>
                <w:sz w:val="20"/>
                <w:szCs w:val="20"/>
                <w:color w:val="auto"/>
              </w:rPr>
            </w:pPr>
            <w:r>
              <w:rPr>
                <w:rFonts w:ascii="Times New Roman" w:cs="Times New Roman" w:eastAsia="Times New Roman" w:hAnsi="Times New Roman"/>
                <w:sz w:val="13"/>
                <w:szCs w:val="13"/>
                <w:color w:val="auto"/>
                <w:w w:val="99"/>
              </w:rPr>
              <w:t>March 31, 2026</w:t>
            </w:r>
          </w:p>
        </w:tc>
      </w:tr>
      <w:tr>
        <w:trPr>
          <w:trHeight w:val="174"/>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Keenan Austin Reed</w:t>
            </w:r>
          </w:p>
        </w:tc>
        <w:tc>
          <w:tcPr>
            <w:tcW w:w="56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41"/>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Zachary Williams</w:t>
            </w:r>
          </w:p>
        </w:tc>
        <w:tc>
          <w:tcPr>
            <w:tcW w:w="5680" w:type="dxa"/>
            <w:vAlign w:val="bottom"/>
          </w:tcPr>
          <w:p>
            <w:pPr>
              <w:jc w:val="center"/>
              <w:ind w:left="476"/>
              <w:spacing w:after="0"/>
              <w:rPr>
                <w:sz w:val="20"/>
                <w:szCs w:val="20"/>
                <w:color w:val="auto"/>
              </w:rPr>
            </w:pPr>
            <w:r>
              <w:rPr>
                <w:rFonts w:ascii="Times New Roman" w:cs="Times New Roman" w:eastAsia="Times New Roman" w:hAnsi="Times New Roman"/>
                <w:sz w:val="13"/>
                <w:szCs w:val="13"/>
                <w:color w:val="auto"/>
                <w:w w:val="99"/>
              </w:rPr>
              <w:t>Executive Director</w:t>
            </w:r>
          </w:p>
        </w:tc>
        <w:tc>
          <w:tcPr>
            <w:tcW w:w="2200" w:type="dxa"/>
            <w:vAlign w:val="bottom"/>
          </w:tcPr>
          <w:p>
            <w:pPr>
              <w:jc w:val="center"/>
              <w:ind w:left="476"/>
              <w:spacing w:after="0"/>
              <w:rPr>
                <w:sz w:val="20"/>
                <w:szCs w:val="20"/>
                <w:color w:val="auto"/>
              </w:rPr>
            </w:pPr>
            <w:r>
              <w:rPr>
                <w:rFonts w:ascii="Times New Roman" w:cs="Times New Roman" w:eastAsia="Times New Roman" w:hAnsi="Times New Roman"/>
                <w:sz w:val="13"/>
                <w:szCs w:val="13"/>
                <w:color w:val="auto"/>
                <w:w w:val="99"/>
              </w:rPr>
              <w:t>March 31, 2026</w:t>
            </w:r>
          </w:p>
        </w:tc>
      </w:tr>
      <w:tr>
        <w:trPr>
          <w:trHeight w:val="174"/>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Zachary Williams</w:t>
            </w:r>
          </w:p>
        </w:tc>
        <w:tc>
          <w:tcPr>
            <w:tcW w:w="56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41"/>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Simon Lee</w:t>
            </w:r>
          </w:p>
        </w:tc>
        <w:tc>
          <w:tcPr>
            <w:tcW w:w="5680" w:type="dxa"/>
            <w:vAlign w:val="bottom"/>
          </w:tcPr>
          <w:p>
            <w:pPr>
              <w:jc w:val="center"/>
              <w:ind w:left="476"/>
              <w:spacing w:after="0"/>
              <w:rPr>
                <w:sz w:val="20"/>
                <w:szCs w:val="20"/>
                <w:color w:val="auto"/>
              </w:rPr>
            </w:pPr>
            <w:r>
              <w:rPr>
                <w:rFonts w:ascii="Times New Roman" w:cs="Times New Roman" w:eastAsia="Times New Roman" w:hAnsi="Times New Roman"/>
                <w:sz w:val="13"/>
                <w:szCs w:val="13"/>
                <w:color w:val="auto"/>
                <w:w w:val="98"/>
              </w:rPr>
              <w:t>Non-Executive Director (Chairperson)</w:t>
            </w:r>
          </w:p>
        </w:tc>
        <w:tc>
          <w:tcPr>
            <w:tcW w:w="2200" w:type="dxa"/>
            <w:vAlign w:val="bottom"/>
          </w:tcPr>
          <w:p>
            <w:pPr>
              <w:jc w:val="center"/>
              <w:ind w:left="476"/>
              <w:spacing w:after="0"/>
              <w:rPr>
                <w:sz w:val="20"/>
                <w:szCs w:val="20"/>
                <w:color w:val="auto"/>
              </w:rPr>
            </w:pPr>
            <w:r>
              <w:rPr>
                <w:rFonts w:ascii="Times New Roman" w:cs="Times New Roman" w:eastAsia="Times New Roman" w:hAnsi="Times New Roman"/>
                <w:sz w:val="13"/>
                <w:szCs w:val="13"/>
                <w:color w:val="auto"/>
                <w:w w:val="99"/>
              </w:rPr>
              <w:t>March 31, 2026</w:t>
            </w:r>
          </w:p>
        </w:tc>
      </w:tr>
      <w:tr>
        <w:trPr>
          <w:trHeight w:val="174"/>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Simon Lee</w:t>
            </w:r>
          </w:p>
        </w:tc>
        <w:tc>
          <w:tcPr>
            <w:tcW w:w="56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41"/>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Charles D. Brown</w:t>
            </w:r>
          </w:p>
        </w:tc>
        <w:tc>
          <w:tcPr>
            <w:tcW w:w="5680" w:type="dxa"/>
            <w:vAlign w:val="bottom"/>
          </w:tcPr>
          <w:p>
            <w:pPr>
              <w:jc w:val="center"/>
              <w:ind w:left="476"/>
              <w:spacing w:after="0"/>
              <w:rPr>
                <w:sz w:val="20"/>
                <w:szCs w:val="20"/>
                <w:color w:val="auto"/>
              </w:rPr>
            </w:pPr>
            <w:r>
              <w:rPr>
                <w:rFonts w:ascii="Times New Roman" w:cs="Times New Roman" w:eastAsia="Times New Roman" w:hAnsi="Times New Roman"/>
                <w:sz w:val="13"/>
                <w:szCs w:val="13"/>
                <w:color w:val="auto"/>
                <w:w w:val="97"/>
              </w:rPr>
              <w:t>Non-Executive Director</w:t>
            </w:r>
          </w:p>
        </w:tc>
        <w:tc>
          <w:tcPr>
            <w:tcW w:w="2200" w:type="dxa"/>
            <w:vAlign w:val="bottom"/>
          </w:tcPr>
          <w:p>
            <w:pPr>
              <w:jc w:val="center"/>
              <w:ind w:left="476"/>
              <w:spacing w:after="0"/>
              <w:rPr>
                <w:sz w:val="20"/>
                <w:szCs w:val="20"/>
                <w:color w:val="auto"/>
              </w:rPr>
            </w:pPr>
            <w:r>
              <w:rPr>
                <w:rFonts w:ascii="Times New Roman" w:cs="Times New Roman" w:eastAsia="Times New Roman" w:hAnsi="Times New Roman"/>
                <w:sz w:val="13"/>
                <w:szCs w:val="13"/>
                <w:color w:val="auto"/>
                <w:w w:val="99"/>
              </w:rPr>
              <w:t>March 31, 2026</w:t>
            </w:r>
          </w:p>
        </w:tc>
      </w:tr>
      <w:tr>
        <w:trPr>
          <w:trHeight w:val="174"/>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Charles D. Brown</w:t>
            </w:r>
          </w:p>
        </w:tc>
        <w:tc>
          <w:tcPr>
            <w:tcW w:w="56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41"/>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Kathleen L. Casey</w:t>
            </w:r>
          </w:p>
        </w:tc>
        <w:tc>
          <w:tcPr>
            <w:tcW w:w="5680" w:type="dxa"/>
            <w:vAlign w:val="bottom"/>
          </w:tcPr>
          <w:p>
            <w:pPr>
              <w:jc w:val="center"/>
              <w:ind w:left="476"/>
              <w:spacing w:after="0"/>
              <w:rPr>
                <w:sz w:val="20"/>
                <w:szCs w:val="20"/>
                <w:color w:val="auto"/>
              </w:rPr>
            </w:pPr>
            <w:r>
              <w:rPr>
                <w:rFonts w:ascii="Times New Roman" w:cs="Times New Roman" w:eastAsia="Times New Roman" w:hAnsi="Times New Roman"/>
                <w:sz w:val="13"/>
                <w:szCs w:val="13"/>
                <w:color w:val="auto"/>
                <w:w w:val="97"/>
              </w:rPr>
              <w:t>Non-Executive Director</w:t>
            </w:r>
          </w:p>
        </w:tc>
        <w:tc>
          <w:tcPr>
            <w:tcW w:w="2200" w:type="dxa"/>
            <w:vAlign w:val="bottom"/>
          </w:tcPr>
          <w:p>
            <w:pPr>
              <w:jc w:val="center"/>
              <w:ind w:left="476"/>
              <w:spacing w:after="0"/>
              <w:rPr>
                <w:sz w:val="20"/>
                <w:szCs w:val="20"/>
                <w:color w:val="auto"/>
              </w:rPr>
            </w:pPr>
            <w:r>
              <w:rPr>
                <w:rFonts w:ascii="Times New Roman" w:cs="Times New Roman" w:eastAsia="Times New Roman" w:hAnsi="Times New Roman"/>
                <w:sz w:val="13"/>
                <w:szCs w:val="13"/>
                <w:color w:val="auto"/>
                <w:w w:val="99"/>
              </w:rPr>
              <w:t>March 31, 2026</w:t>
            </w:r>
          </w:p>
        </w:tc>
      </w:tr>
      <w:tr>
        <w:trPr>
          <w:trHeight w:val="174"/>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Kathleen L. Casey</w:t>
            </w:r>
          </w:p>
        </w:tc>
        <w:tc>
          <w:tcPr>
            <w:tcW w:w="56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41"/>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Benjamin Ginsberg</w:t>
            </w:r>
          </w:p>
        </w:tc>
        <w:tc>
          <w:tcPr>
            <w:tcW w:w="5680" w:type="dxa"/>
            <w:vAlign w:val="bottom"/>
          </w:tcPr>
          <w:p>
            <w:pPr>
              <w:jc w:val="center"/>
              <w:ind w:left="476"/>
              <w:spacing w:after="0"/>
              <w:rPr>
                <w:sz w:val="20"/>
                <w:szCs w:val="20"/>
                <w:color w:val="auto"/>
              </w:rPr>
            </w:pPr>
            <w:r>
              <w:rPr>
                <w:rFonts w:ascii="Times New Roman" w:cs="Times New Roman" w:eastAsia="Times New Roman" w:hAnsi="Times New Roman"/>
                <w:sz w:val="13"/>
                <w:szCs w:val="13"/>
                <w:color w:val="auto"/>
                <w:w w:val="97"/>
              </w:rPr>
              <w:t>Non-Executive Director</w:t>
            </w:r>
          </w:p>
        </w:tc>
        <w:tc>
          <w:tcPr>
            <w:tcW w:w="2200" w:type="dxa"/>
            <w:vAlign w:val="bottom"/>
          </w:tcPr>
          <w:p>
            <w:pPr>
              <w:jc w:val="center"/>
              <w:ind w:left="476"/>
              <w:spacing w:after="0"/>
              <w:rPr>
                <w:sz w:val="20"/>
                <w:szCs w:val="20"/>
                <w:color w:val="auto"/>
              </w:rPr>
            </w:pPr>
            <w:r>
              <w:rPr>
                <w:rFonts w:ascii="Times New Roman" w:cs="Times New Roman" w:eastAsia="Times New Roman" w:hAnsi="Times New Roman"/>
                <w:sz w:val="13"/>
                <w:szCs w:val="13"/>
                <w:color w:val="auto"/>
                <w:w w:val="99"/>
              </w:rPr>
              <w:t>March 31, 2026</w:t>
            </w:r>
          </w:p>
        </w:tc>
      </w:tr>
      <w:tr>
        <w:trPr>
          <w:trHeight w:val="174"/>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Benjamin Ginsberg</w:t>
            </w:r>
          </w:p>
        </w:tc>
        <w:tc>
          <w:tcPr>
            <w:tcW w:w="56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41"/>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Kimberly White</w:t>
            </w:r>
          </w:p>
        </w:tc>
        <w:tc>
          <w:tcPr>
            <w:tcW w:w="5680" w:type="dxa"/>
            <w:vAlign w:val="bottom"/>
          </w:tcPr>
          <w:p>
            <w:pPr>
              <w:jc w:val="center"/>
              <w:ind w:left="476"/>
              <w:spacing w:after="0"/>
              <w:rPr>
                <w:sz w:val="20"/>
                <w:szCs w:val="20"/>
                <w:color w:val="auto"/>
              </w:rPr>
            </w:pPr>
            <w:r>
              <w:rPr>
                <w:rFonts w:ascii="Times New Roman" w:cs="Times New Roman" w:eastAsia="Times New Roman" w:hAnsi="Times New Roman"/>
                <w:sz w:val="13"/>
                <w:szCs w:val="13"/>
                <w:color w:val="auto"/>
                <w:w w:val="97"/>
              </w:rPr>
              <w:t>Non-Executive Director</w:t>
            </w:r>
          </w:p>
        </w:tc>
        <w:tc>
          <w:tcPr>
            <w:tcW w:w="2200" w:type="dxa"/>
            <w:vAlign w:val="bottom"/>
          </w:tcPr>
          <w:p>
            <w:pPr>
              <w:jc w:val="center"/>
              <w:ind w:left="476"/>
              <w:spacing w:after="0"/>
              <w:rPr>
                <w:sz w:val="20"/>
                <w:szCs w:val="20"/>
                <w:color w:val="auto"/>
              </w:rPr>
            </w:pPr>
            <w:r>
              <w:rPr>
                <w:rFonts w:ascii="Times New Roman" w:cs="Times New Roman" w:eastAsia="Times New Roman" w:hAnsi="Times New Roman"/>
                <w:sz w:val="13"/>
                <w:szCs w:val="13"/>
                <w:color w:val="auto"/>
                <w:w w:val="99"/>
              </w:rPr>
              <w:t>March 31, 2026</w:t>
            </w:r>
          </w:p>
        </w:tc>
      </w:tr>
      <w:tr>
        <w:trPr>
          <w:trHeight w:val="174"/>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Kimberly White</w:t>
            </w:r>
          </w:p>
        </w:tc>
        <w:tc>
          <w:tcPr>
            <w:tcW w:w="5680" w:type="dxa"/>
            <w:vAlign w:val="bottom"/>
          </w:tcPr>
          <w:p>
            <w:pPr>
              <w:spacing w:after="0"/>
              <w:rPr>
                <w:sz w:val="15"/>
                <w:szCs w:val="15"/>
                <w:color w:val="auto"/>
              </w:rPr>
            </w:pPr>
          </w:p>
        </w:tc>
        <w:tc>
          <w:tcPr>
            <w:tcW w:w="2200" w:type="dxa"/>
            <w:vAlign w:val="bottom"/>
          </w:tcPr>
          <w:p>
            <w:pPr>
              <w:spacing w:after="0"/>
              <w:rPr>
                <w:sz w:val="15"/>
                <w:szCs w:val="15"/>
                <w:color w:val="auto"/>
              </w:rPr>
            </w:pPr>
          </w:p>
        </w:tc>
      </w:tr>
    </w:tbl>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11280"/>
          </w:cols>
          <w:pgMar w:left="300" w:top="717" w:right="319" w:bottom="1440"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AMENDMENT NO. 1</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TO THE PUBLIC POLICY HOLDING COMPANY, INC. 2021 OMNIBUS INCENTIVE PLAN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960"/>
        <w:spacing w:after="0" w:line="442" w:lineRule="auto"/>
        <w:rPr>
          <w:sz w:val="20"/>
          <w:szCs w:val="20"/>
          <w:color w:val="auto"/>
        </w:rPr>
      </w:pPr>
      <w:r>
        <w:rPr>
          <w:rFonts w:ascii="Times New Roman" w:cs="Times New Roman" w:eastAsia="Times New Roman" w:hAnsi="Times New Roman"/>
          <w:sz w:val="14"/>
          <w:szCs w:val="14"/>
          <w:b w:val="1"/>
          <w:bCs w:val="1"/>
          <w:color w:val="auto"/>
        </w:rPr>
        <w:t xml:space="preserve">THIS AMENDMENT NO. 1 TO THE PUBLIC POLICY HOLDING COMPANY, INC. 2021 OMNIBUS INCENTIVE PLAN </w:t>
      </w: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u w:val="single" w:color="auto"/>
          <w:color w:val="auto"/>
        </w:rPr>
        <w:t>LTIP Amendment</w:t>
      </w:r>
      <w:r>
        <w:rPr>
          <w:rFonts w:ascii="Times New Roman" w:cs="Times New Roman" w:eastAsia="Times New Roman" w:hAnsi="Times New Roman"/>
          <w:sz w:val="14"/>
          <w:szCs w:val="14"/>
          <w:color w:val="auto"/>
        </w:rPr>
        <w:t>”) is effective as of May 9, 2024 (the “</w:t>
      </w: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Remuneration Committee of the Board of Directors of Public Policy Holding Company, Inc., a Delaware corporation (the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has reviewed, approved and recommended to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Board that the Board ratify, approve and adopt, and the Board has reviewed, ratified, approved and adopted, this LTIP Amendment effective as of the Effective Date:</w:t>
      </w:r>
    </w:p>
    <w:p>
      <w:pPr>
        <w:spacing w:after="0" w:line="122" w:lineRule="exact"/>
        <w:rPr>
          <w:sz w:val="20"/>
          <w:szCs w:val="20"/>
          <w:color w:val="auto"/>
        </w:rPr>
      </w:pPr>
    </w:p>
    <w:p>
      <w:pPr>
        <w:ind w:firstLine="5"/>
        <w:spacing w:after="0" w:line="287" w:lineRule="auto"/>
        <w:tabs>
          <w:tab w:leader="none" w:pos="255"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3(a) (Stock Issuable) of the Public Policy Holding Company, Inc. 2021 Omnibus Incentive Plan (the “</w:t>
      </w:r>
      <w:r>
        <w:rPr>
          <w:rFonts w:ascii="Times New Roman" w:cs="Times New Roman" w:eastAsia="Times New Roman" w:hAnsi="Times New Roman"/>
          <w:sz w:val="14"/>
          <w:szCs w:val="14"/>
          <w:u w:val="single" w:color="auto"/>
          <w:color w:val="auto"/>
        </w:rPr>
        <w:t>LTIP</w:t>
      </w:r>
      <w:r>
        <w:rPr>
          <w:rFonts w:ascii="Times New Roman" w:cs="Times New Roman" w:eastAsia="Times New Roman" w:hAnsi="Times New Roman"/>
          <w:sz w:val="14"/>
          <w:szCs w:val="14"/>
          <w:color w:val="auto"/>
        </w:rPr>
        <w:t>”) is hereby amended by deleting the first sentence thereof and replacing it with the following:</w:t>
      </w:r>
    </w:p>
    <w:p>
      <w:pPr>
        <w:spacing w:after="0" w:line="8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“An Award must not be granted if the number of Shares committed to be issued under that Award exceeds 15 percent of the ordinary share capital of the Company in issue immediately before that day, when added to the number of Shares which have been issued, or committed to be issued, to satisfy Awards under the Plan, or options or awards under any other employee share plan operated by the Company, granted in the previous five years, as adjusted pursuant to the third sentence of this paragraph and Section 3(c).”</w:t>
      </w:r>
    </w:p>
    <w:p>
      <w:pPr>
        <w:spacing w:after="0" w:line="93" w:lineRule="exact"/>
        <w:rPr>
          <w:sz w:val="20"/>
          <w:szCs w:val="20"/>
          <w:color w:val="auto"/>
        </w:rPr>
      </w:pPr>
    </w:p>
    <w:p>
      <w:pPr>
        <w:ind w:right="100" w:firstLine="514"/>
        <w:spacing w:after="0" w:line="287" w:lineRule="auto"/>
        <w:tabs>
          <w:tab w:leader="none" w:pos="651"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LTIP, as amended by this LTIP Amendment, shall continue in full force and effect in accordance with its terms. In the event there are any conflicts between the terms of the LTIP and this LTIP Amendment, this LTIP Amendment shall control.</w:t>
      </w:r>
    </w:p>
    <w:p>
      <w:pPr>
        <w:sectPr>
          <w:pgSz w:w="11900" w:h="16838" w:orient="portrait"/>
          <w:cols w:equalWidth="0" w:num="1">
            <w:col w:w="11280"/>
          </w:cols>
          <w:pgMar w:left="300" w:top="685" w:right="319" w:bottom="1440" w:gutter="0" w:footer="0" w:header="0"/>
        </w:sectPr>
      </w:pPr>
    </w:p>
    <w:bookmarkStart w:id="158" w:name="page159"/>
    <w:bookmarkEnd w:id="158"/>
    <w:p>
      <w:pPr>
        <w:spacing w:after="0" w:line="287" w:lineRule="auto"/>
        <w:tabs>
          <w:tab w:leader="none" w:pos="6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line="287" w:lineRule="auto"/>
        <w:tabs>
          <w:tab w:leader="none" w:pos="6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line="287" w:lineRule="auto"/>
        <w:tabs>
          <w:tab w:leader="none" w:pos="6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line="287" w:lineRule="auto"/>
        <w:tabs>
          <w:tab w:leader="none" w:pos="6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line="287" w:lineRule="auto"/>
        <w:tabs>
          <w:tab w:leader="none" w:pos="6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line="287" w:lineRule="auto"/>
        <w:tabs>
          <w:tab w:leader="none" w:pos="6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line="287" w:lineRule="auto"/>
        <w:tabs>
          <w:tab w:leader="none" w:pos="6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line="287" w:lineRule="auto"/>
        <w:tabs>
          <w:tab w:leader="none" w:pos="651" w:val="left"/>
        </w:tabs>
        <w:rPr>
          <w:sz w:val="20"/>
          <w:szCs w:val="20"/>
          <w:color w:val="auto"/>
        </w:rPr>
      </w:pPr>
    </w:p>
    <w:p>
      <w:pPr>
        <w:sectPr>
          <w:pgSz w:w="11900" w:h="16838" w:orient="portrait"/>
          <w:cols w:equalWidth="1" w:num="1" w:space="0"/>
          <w:pgMar w:left="1440" w:top="1440" w:right="1440" w:bottom="875"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6"/>
          <w:szCs w:val="16"/>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PUBLIC POLICY HOLDING COMPANY,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2021 OMNIBUS INCENTIVE PLAN</w:t>
      </w:r>
    </w:p>
    <w:p>
      <w:pPr>
        <w:spacing w:after="0" w:line="1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Effective January 26, 2026</w:t>
      </w:r>
    </w:p>
    <w:p>
      <w:pPr>
        <w:spacing w:after="0" w:line="1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GENERAL PURPOSE OF THE PLAN; DEFINITIONS</w:t>
      </w:r>
    </w:p>
    <w:p>
      <w:pPr>
        <w:spacing w:after="0" w:line="176"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7"/>
          <w:szCs w:val="17"/>
          <w:color w:val="auto"/>
        </w:rPr>
        <w:t>The Public Policy Holding Company, Inc. 2021 Omnibus Incentive Plan (the “Prior Plan”) was originally adopted by the Board on December 8, 2021 and approved by the sole shareholder of Public Policy Holding Company, Inc. (the “Company”) on December 9, 2021. The Prior Plan is hereby amended, restated and superseded in its entirety as set forth herein (the “Plan”), effective as of the Effective Date, subject to approval of the Board. The purpose of the Plan is to encourage and enable the officers, employees, Non-Employee Directors and Consultants of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terms shall be defined as set forth below:</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“Act” </w:t>
      </w:r>
      <w:r>
        <w:rPr>
          <w:rFonts w:ascii="Times New Roman" w:cs="Times New Roman" w:eastAsia="Times New Roman" w:hAnsi="Times New Roman"/>
          <w:sz w:val="17"/>
          <w:szCs w:val="17"/>
          <w:color w:val="auto"/>
        </w:rPr>
        <w:t>means the Securities Act of 1933, as amended, and the rules and regulations thereunder.</w:t>
      </w:r>
    </w:p>
    <w:p>
      <w:pPr>
        <w:spacing w:after="0" w:line="16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“Administrator” </w:t>
      </w:r>
      <w:r>
        <w:rPr>
          <w:rFonts w:ascii="Times New Roman" w:cs="Times New Roman" w:eastAsia="Times New Roman" w:hAnsi="Times New Roman"/>
          <w:sz w:val="17"/>
          <w:szCs w:val="17"/>
          <w:color w:val="auto"/>
        </w:rPr>
        <w:t>means the entity that conducts the general administration of the Plan as provided in Section 2. With reference to the duties of the Committee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the Plan which have been delegated to one or more persons pursuant to Section 2(c), or as to which the Board has assumed, the term “Administrator” shall refer to such person(s) unless the Committee or the Board has revoked such delegation or the Board has terminated the assumption of such duties.</w:t>
      </w:r>
    </w:p>
    <w:p>
      <w:pPr>
        <w:spacing w:after="0" w:line="133"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Affiliate</w:t>
      </w:r>
      <w:r>
        <w:rPr>
          <w:rFonts w:ascii="Times New Roman" w:cs="Times New Roman" w:eastAsia="Times New Roman" w:hAnsi="Times New Roman"/>
          <w:sz w:val="17"/>
          <w:szCs w:val="17"/>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26"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7"/>
          <w:szCs w:val="17"/>
          <w:i w:val="1"/>
          <w:iCs w:val="1"/>
          <w:color w:val="auto"/>
        </w:rPr>
        <w:t xml:space="preserve">“Award”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“Awards,” </w:t>
      </w:r>
      <w:r>
        <w:rPr>
          <w:rFonts w:ascii="Times New Roman" w:cs="Times New Roman" w:eastAsia="Times New Roman" w:hAnsi="Times New Roman"/>
          <w:sz w:val="17"/>
          <w:szCs w:val="17"/>
          <w:color w:val="auto"/>
        </w:rPr>
        <w:t>except where referring to a particular category of grant under the Plan, shall include Incentive Stock Options, Non-Qualified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Options, Stock Appreciation Rights, Restricted Stock Units, Restricted Stock Awards, Unrestricted Stock Awards, Cash-Based Awards, and Dividend Equivalent Rights.</w:t>
      </w:r>
    </w:p>
    <w:p>
      <w:pPr>
        <w:spacing w:after="0" w:line="140"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“Award Agreement” </w:t>
      </w:r>
      <w:r>
        <w:rPr>
          <w:rFonts w:ascii="Times New Roman" w:cs="Times New Roman" w:eastAsia="Times New Roman" w:hAnsi="Times New Roman"/>
          <w:sz w:val="17"/>
          <w:szCs w:val="17"/>
          <w:color w:val="auto"/>
        </w:rPr>
        <w:t>means a written or electronic document setting forth the terms and provisions applicable to an Award granted under the Plan. Each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 Agreement is subject to the terms and conditions of the Plan.</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“Board” </w:t>
      </w:r>
      <w:r>
        <w:rPr>
          <w:rFonts w:ascii="Times New Roman" w:cs="Times New Roman" w:eastAsia="Times New Roman" w:hAnsi="Times New Roman"/>
          <w:sz w:val="17"/>
          <w:szCs w:val="17"/>
          <w:color w:val="auto"/>
        </w:rPr>
        <w:t>means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80"/>
          </w:cols>
          <w:pgMar w:left="300" w:top="108" w:right="31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6"/>
          <w:szCs w:val="16"/>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“Cash-Based Award” </w:t>
      </w:r>
      <w:r>
        <w:rPr>
          <w:rFonts w:ascii="Times New Roman" w:cs="Times New Roman" w:eastAsia="Times New Roman" w:hAnsi="Times New Roman"/>
          <w:sz w:val="17"/>
          <w:szCs w:val="17"/>
          <w:color w:val="auto"/>
        </w:rPr>
        <w:t>means an Award entitling the recipient to receive a cash-denominated payment.</w:t>
      </w:r>
    </w:p>
    <w:p>
      <w:pPr>
        <w:spacing w:after="0" w:line="176"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7"/>
          <w:szCs w:val="17"/>
          <w:i w:val="1"/>
          <w:iCs w:val="1"/>
          <w:color w:val="auto"/>
        </w:rPr>
        <w:t xml:space="preserve">“Cause” </w:t>
      </w:r>
      <w:r>
        <w:rPr>
          <w:rFonts w:ascii="Times New Roman" w:cs="Times New Roman" w:eastAsia="Times New Roman" w:hAnsi="Times New Roman"/>
          <w:sz w:val="17"/>
          <w:szCs w:val="17"/>
          <w:color w:val="auto"/>
        </w:rPr>
        <w:t>has the meaning set forth in the grantee’s Award Agreement, or if none, the meaning set forth in the grantee’s employment agreement, or if none,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“Cause” means (a) willful misconduct or gross negligence in the performance of the grantee’s duties to the Company; (b) willful and repeated failure to follow the lawful directives of the Board or Chief Executive Officer; (c) indictment for, conviction of, or pleading of guilty or nolo contendere to, a felony or any crime resulting in reputational or financial harm to the Company; (d) performance of any act of theft, embezzlement, fraud, or misappropriation of Company property; (e) use of illegal drugs, or abuse of alcohol that materially impairs the grantee’s ability to perform the grantee’s duties to the Company; (f) material breach of any fiduciary duty owed to the Company (including, without limitation, the duty of care and the duty of loyalty); (g) material breach of any agreement between the grantee and the Company; (h) material violation of the Company’s code of conduct or other written policy; or (i) prohibition from serving in the lobbying industry or serving as an officer of the Company.</w:t>
      </w:r>
    </w:p>
    <w:p>
      <w:pPr>
        <w:spacing w:after="0" w:line="157"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7"/>
          <w:szCs w:val="17"/>
          <w:i w:val="1"/>
          <w:iCs w:val="1"/>
          <w:color w:val="auto"/>
        </w:rPr>
        <w:t xml:space="preserve">“Change in Control” </w:t>
      </w:r>
      <w:r>
        <w:rPr>
          <w:rFonts w:ascii="Times New Roman" w:cs="Times New Roman" w:eastAsia="Times New Roman" w:hAnsi="Times New Roman"/>
          <w:sz w:val="17"/>
          <w:szCs w:val="17"/>
          <w:color w:val="auto"/>
        </w:rPr>
        <w:t>means, except to the extent otherwise provided in an Award Agreement, the first to occur of the following events after the grant date: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sale, transfer or other disposition of all or substantially all of the assets of the Company to one or more individuals or entities (“Persons”) that are not, immediately prior to such sale, transfer or other disposition, directly or indirectly through one or more intermediaries, controlling, controlled by, or under common control with, the Company (a “COC Affiliate”); (b) any “person” or “group” (as such terms are used in Sections 13(d) and 14(d) of the Exchange Act) (other than the Company or any COC Affiliate, or any employee benefit plan sponsored or maintained by the Company (or its COC Affiliates)) becomes the beneficial owner, directly or indirectly, of more than 50% of the voting power of the common stock of the Company; (c) the merger or consolidation of the Company, as a result of which Persons who were stockholders of the Company immediately prior to such merger or consolidation, do not, immediately thereafter, own, directly or indirectly, a majority of the combined voting power entitled to vote generally in the election of directors of the merged or consolidated company; (d) the liquidation or dissolution of the Company other than a liquidation or dissolution for the purposes of effecting a corporate restructuring or reorganization as a result of which Persons who were stockholders of the Company immediately prior to such liquidation or dissolution continue to own immediately thereafter, directly or indirectly, a majority of the combined voting power entitled to vote generally in the election of directors of the entity that owns, directly or indirectly, substantially all of the assets of the Company following such transaction; or (v) a majority of the members of the Board are replaced during any twelve-month period by directors whose appointment or election is not endorsed by a majority of the Board before the date of such appointment or election.</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“Code” </w:t>
      </w:r>
      <w:r>
        <w:rPr>
          <w:rFonts w:ascii="Times New Roman" w:cs="Times New Roman" w:eastAsia="Times New Roman" w:hAnsi="Times New Roman"/>
          <w:sz w:val="17"/>
          <w:szCs w:val="17"/>
          <w:color w:val="auto"/>
        </w:rPr>
        <w:t>means the Internal Revenue Code of 1986, as amended, and any successor Code, and related rules, regulations and interpretations.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Committee</w:t>
      </w:r>
      <w:r>
        <w:rPr>
          <w:rFonts w:ascii="Times New Roman" w:cs="Times New Roman" w:eastAsia="Times New Roman" w:hAnsi="Times New Roman"/>
          <w:sz w:val="17"/>
          <w:szCs w:val="17"/>
          <w:color w:val="auto"/>
        </w:rPr>
        <w:t>” shall mean the Compensation Committee of the Board, or another committee or subcommittee of the Board, appointed as provided in Section 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80"/>
          </w:cols>
          <w:pgMar w:left="300" w:top="108" w:right="31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6"/>
          <w:szCs w:val="16"/>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“Consultant” </w:t>
      </w:r>
      <w:r>
        <w:rPr>
          <w:rFonts w:ascii="Times New Roman" w:cs="Times New Roman" w:eastAsia="Times New Roman" w:hAnsi="Times New Roman"/>
          <w:sz w:val="17"/>
          <w:szCs w:val="17"/>
          <w:color w:val="auto"/>
        </w:rPr>
        <w:t>means a consultant or adviser who may be offered securities registrable pursuant to a registration statement on Form S-8 of the 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specifically, (a) is a natural person, and (b) provides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services to the Company or an Affiliate other than in connection with the offer of securities in a capital-raising transaction or the direct or indirect promotion or maintenance of a market for the Company’s securities.</w:t>
      </w:r>
    </w:p>
    <w:p>
      <w:pPr>
        <w:spacing w:after="0" w:line="13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“Disability” </w:t>
      </w:r>
      <w:r>
        <w:rPr>
          <w:rFonts w:ascii="Times New Roman" w:cs="Times New Roman" w:eastAsia="Times New Roman" w:hAnsi="Times New Roman"/>
          <w:sz w:val="17"/>
          <w:szCs w:val="17"/>
          <w:color w:val="auto"/>
        </w:rPr>
        <w:t>has the meaning set forth in the grantee’s Award Agreement, or if none, the meaning set forth in the grantee’s employment agreement, or if none,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the grantee is determined to be disabled under Company-provided long-term disability coverage, or if none, “Disability” means that the grantee, as a result of illness or incapacity, is unable to perform substantially his or her required duties for a period of four (4) consecutive months or for any aggregate period of six (6) months in any twelve (12) month period.</w:t>
      </w:r>
    </w:p>
    <w:p>
      <w:pPr>
        <w:spacing w:after="0" w:line="130"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“Dividend Equivalent Right” </w:t>
      </w:r>
      <w:r>
        <w:rPr>
          <w:rFonts w:ascii="Times New Roman" w:cs="Times New Roman" w:eastAsia="Times New Roman" w:hAnsi="Times New Roman"/>
          <w:sz w:val="17"/>
          <w:szCs w:val="17"/>
          <w:color w:val="auto"/>
        </w:rPr>
        <w:t>means an Award entitling the grantee to receive credits based on ordinary cash dividends that would have been paid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of Stock specified in the Dividend Equivalent Right (or other award to which it relates) if such shares had been issued to and held by the grantee.</w:t>
      </w:r>
    </w:p>
    <w:p>
      <w:pPr>
        <w:spacing w:after="0" w:line="1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“Effective Date” </w:t>
      </w:r>
      <w:r>
        <w:rPr>
          <w:rFonts w:ascii="Times New Roman" w:cs="Times New Roman" w:eastAsia="Times New Roman" w:hAnsi="Times New Roman"/>
          <w:sz w:val="17"/>
          <w:szCs w:val="17"/>
          <w:color w:val="auto"/>
        </w:rPr>
        <w:t>means the day immediately prior to the Company’s Registration Date.</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“Exchange Act” </w:t>
      </w:r>
      <w:r>
        <w:rPr>
          <w:rFonts w:ascii="Times New Roman" w:cs="Times New Roman" w:eastAsia="Times New Roman" w:hAnsi="Times New Roman"/>
          <w:sz w:val="17"/>
          <w:szCs w:val="17"/>
          <w:color w:val="auto"/>
        </w:rPr>
        <w:t>means the Securities Exchange Act of 1934, as amended, and the rules and regulations thereunder.</w:t>
      </w:r>
    </w:p>
    <w:p>
      <w:pPr>
        <w:spacing w:after="0" w:line="176"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7"/>
          <w:szCs w:val="17"/>
          <w:i w:val="1"/>
          <w:iCs w:val="1"/>
          <w:color w:val="auto"/>
        </w:rPr>
        <w:t xml:space="preserve">“Fair Market Value” </w:t>
      </w:r>
      <w:r>
        <w:rPr>
          <w:rFonts w:ascii="Times New Roman" w:cs="Times New Roman" w:eastAsia="Times New Roman" w:hAnsi="Times New Roman"/>
          <w:sz w:val="17"/>
          <w:szCs w:val="17"/>
          <w:color w:val="auto"/>
        </w:rPr>
        <w:t>of the Stock, on any given date, shall be determined by the Administrator as follows (a) if the Stock is listed on any established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exchange, its Fair Market Value will be determined by reference to the price for such Stock as quoted on such exchange for such date, or if no sale occurred on such date, the last day preceding such date during which a sale occurred, as reported in </w:t>
      </w:r>
      <w:r>
        <w:rPr>
          <w:rFonts w:ascii="Times New Roman" w:cs="Times New Roman" w:eastAsia="Times New Roman" w:hAnsi="Times New Roman"/>
          <w:sz w:val="17"/>
          <w:szCs w:val="17"/>
          <w:i w:val="1"/>
          <w:iCs w:val="1"/>
          <w:color w:val="auto"/>
        </w:rPr>
        <w:t>The Wall Street Journal</w:t>
      </w:r>
      <w:r>
        <w:rPr>
          <w:rFonts w:ascii="Times New Roman" w:cs="Times New Roman" w:eastAsia="Times New Roman" w:hAnsi="Times New Roman"/>
          <w:sz w:val="17"/>
          <w:szCs w:val="17"/>
          <w:color w:val="auto"/>
        </w:rPr>
        <w:t xml:space="preserve"> or another source the Administrator deems reliable (for purposes of this clause (a), Nasdaq shall be the primary exchange used for pricing purposes, however, the Committee in its discretion may use the pricing on the London AIM exchange if they deem that to be appropriate); (b) if the Stock is not traded on a stock exchange but is quoted on a national market or other quotation system, the price on such date, or if no sales occurred on such date, then on the last date preceding such date during which a sale occurred, as reported in </w:t>
      </w:r>
      <w:r>
        <w:rPr>
          <w:rFonts w:ascii="Times New Roman" w:cs="Times New Roman" w:eastAsia="Times New Roman" w:hAnsi="Times New Roman"/>
          <w:sz w:val="17"/>
          <w:szCs w:val="17"/>
          <w:i w:val="1"/>
          <w:iCs w:val="1"/>
          <w:color w:val="auto"/>
        </w:rPr>
        <w:t>The Wall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Street Journal </w:t>
      </w:r>
      <w:r>
        <w:rPr>
          <w:rFonts w:ascii="Times New Roman" w:cs="Times New Roman" w:eastAsia="Times New Roman" w:hAnsi="Times New Roman"/>
          <w:sz w:val="17"/>
          <w:szCs w:val="17"/>
          <w:color w:val="auto"/>
        </w:rPr>
        <w:t>or another source the Administrator deems reliable; or (c) if there is no established market for the Stock, the Administrator will determine the Fair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 Value in its discretion. Fair Market Value shall be determined in a manner consistent with Section 422 of the Code (if applicable) or Section 409A of the Code (if applicable).</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“Incentive Stock Option” </w:t>
      </w:r>
      <w:r>
        <w:rPr>
          <w:rFonts w:ascii="Times New Roman" w:cs="Times New Roman" w:eastAsia="Times New Roman" w:hAnsi="Times New Roman"/>
          <w:sz w:val="17"/>
          <w:szCs w:val="17"/>
          <w:color w:val="auto"/>
        </w:rPr>
        <w:t>means any Stock Option designated and qualified as an “incentive stock option” as defined in Section 422 of the Code.</w:t>
      </w:r>
    </w:p>
    <w:p>
      <w:pPr>
        <w:spacing w:after="0" w:line="16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“Non-Employee Director” </w:t>
      </w:r>
      <w:r>
        <w:rPr>
          <w:rFonts w:ascii="Times New Roman" w:cs="Times New Roman" w:eastAsia="Times New Roman" w:hAnsi="Times New Roman"/>
          <w:sz w:val="17"/>
          <w:szCs w:val="17"/>
          <w:color w:val="auto"/>
        </w:rPr>
        <w:t>means a member of the Board who is not also an employee of the Company or any Subsidiary, who meets the requirements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Rule 16b-3.</w:t>
      </w:r>
    </w:p>
    <w:p>
      <w:pPr>
        <w:spacing w:after="0"/>
        <w:rPr>
          <w:sz w:val="20"/>
          <w:szCs w:val="20"/>
          <w:color w:val="auto"/>
        </w:rPr>
      </w:pPr>
      <w:r>
        <w:rPr>
          <w:rFonts w:ascii="Times New Roman" w:cs="Times New Roman" w:eastAsia="Times New Roman" w:hAnsi="Times New Roman"/>
          <w:sz w:val="17"/>
          <w:szCs w:val="17"/>
          <w:i w:val="1"/>
          <w:iCs w:val="1"/>
          <w:color w:val="auto"/>
        </w:rPr>
        <w:t xml:space="preserve">“Non-Qualified Stock Option” </w:t>
      </w:r>
      <w:r>
        <w:rPr>
          <w:rFonts w:ascii="Times New Roman" w:cs="Times New Roman" w:eastAsia="Times New Roman" w:hAnsi="Times New Roman"/>
          <w:sz w:val="17"/>
          <w:szCs w:val="17"/>
          <w:color w:val="auto"/>
        </w:rPr>
        <w:t>means any Stock Option that is not an Incentive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80"/>
          </w:cols>
          <w:pgMar w:left="300" w:top="108" w:right="31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6"/>
          <w:szCs w:val="16"/>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“Option”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“Stock Option” </w:t>
      </w:r>
      <w:r>
        <w:rPr>
          <w:rFonts w:ascii="Times New Roman" w:cs="Times New Roman" w:eastAsia="Times New Roman" w:hAnsi="Times New Roman"/>
          <w:sz w:val="17"/>
          <w:szCs w:val="17"/>
          <w:color w:val="auto"/>
        </w:rPr>
        <w:t>means any option to purchase shares of Stock granted pursuant to Section 5.</w:t>
      </w:r>
    </w:p>
    <w:p>
      <w:pPr>
        <w:spacing w:after="0" w:line="16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“Registration Date” </w:t>
      </w:r>
      <w:r>
        <w:rPr>
          <w:rFonts w:ascii="Times New Roman" w:cs="Times New Roman" w:eastAsia="Times New Roman" w:hAnsi="Times New Roman"/>
          <w:sz w:val="17"/>
          <w:szCs w:val="17"/>
          <w:color w:val="auto"/>
        </w:rPr>
        <w:t>means the date on which the Company’s registration statement under Section 12(b) of the Exchange Act is declared effective by the SEC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the Act.</w:t>
      </w:r>
    </w:p>
    <w:p>
      <w:pPr>
        <w:spacing w:after="0" w:line="105"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“Restricted Shares” </w:t>
      </w:r>
      <w:r>
        <w:rPr>
          <w:rFonts w:ascii="Times New Roman" w:cs="Times New Roman" w:eastAsia="Times New Roman" w:hAnsi="Times New Roman"/>
          <w:sz w:val="17"/>
          <w:szCs w:val="17"/>
          <w:color w:val="auto"/>
        </w:rPr>
        <w:t>means the shares of Stock underlying a Restricted Stock Award that remain subject to a risk of forfeiture or the Company’s right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repurchase.</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“Restricted Stock Award” </w:t>
      </w:r>
      <w:r>
        <w:rPr>
          <w:rFonts w:ascii="Times New Roman" w:cs="Times New Roman" w:eastAsia="Times New Roman" w:hAnsi="Times New Roman"/>
          <w:sz w:val="17"/>
          <w:szCs w:val="17"/>
          <w:color w:val="auto"/>
        </w:rPr>
        <w:t>means an Award of Restricted Shares subject to such restrictions and conditions as the Administrator may determine at the time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grant.</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“Restricted Stock Units” </w:t>
      </w:r>
      <w:r>
        <w:rPr>
          <w:rFonts w:ascii="Times New Roman" w:cs="Times New Roman" w:eastAsia="Times New Roman" w:hAnsi="Times New Roman"/>
          <w:sz w:val="17"/>
          <w:szCs w:val="17"/>
          <w:color w:val="auto"/>
        </w:rPr>
        <w:t>means an Award of stock units subject to such restrictions and conditions as the Administrator may determine at the time of grant.</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“Rule 16b-3” </w:t>
      </w:r>
      <w:r>
        <w:rPr>
          <w:rFonts w:ascii="Times New Roman" w:cs="Times New Roman" w:eastAsia="Times New Roman" w:hAnsi="Times New Roman"/>
          <w:sz w:val="17"/>
          <w:szCs w:val="17"/>
          <w:color w:val="auto"/>
        </w:rPr>
        <w:t>means Rule 16b-3 promulgated under the Exchange Act, or any successor to Rule 16b-3, as in effect from time to time.</w:t>
      </w:r>
    </w:p>
    <w:p>
      <w:pPr>
        <w:spacing w:after="0" w:line="16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Sale Price</w:t>
      </w:r>
      <w:r>
        <w:rPr>
          <w:rFonts w:ascii="Times New Roman" w:cs="Times New Roman" w:eastAsia="Times New Roman" w:hAnsi="Times New Roman"/>
          <w:sz w:val="17"/>
          <w:szCs w:val="17"/>
          <w:color w:val="auto"/>
        </w:rPr>
        <w:t>” means the value as determined by the Administrator of the consideration payable, or otherwise to be received by stockholders, per share of Stock pursuant to a Change in Control.</w:t>
      </w:r>
    </w:p>
    <w:p>
      <w:pPr>
        <w:spacing w:after="0" w:line="1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“Section 409A” </w:t>
      </w:r>
      <w:r>
        <w:rPr>
          <w:rFonts w:ascii="Times New Roman" w:cs="Times New Roman" w:eastAsia="Times New Roman" w:hAnsi="Times New Roman"/>
          <w:sz w:val="17"/>
          <w:szCs w:val="17"/>
          <w:color w:val="auto"/>
        </w:rPr>
        <w:t>means Section 409A of the Code and the regulations and other guidance promulgated thereunder.</w:t>
      </w:r>
    </w:p>
    <w:p>
      <w:pPr>
        <w:spacing w:after="0" w:line="176"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“Service Relationship” </w:t>
      </w:r>
      <w:r>
        <w:rPr>
          <w:rFonts w:ascii="Times New Roman" w:cs="Times New Roman" w:eastAsia="Times New Roman" w:hAnsi="Times New Roman"/>
          <w:sz w:val="17"/>
          <w:szCs w:val="17"/>
          <w:color w:val="auto"/>
        </w:rPr>
        <w:t>means any relationship as an employee, director or Consultant of the Company or any Affiliate (e.g., a Service Relationship shall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deemed to continue without interruption in the event an individual’s status changes from full-time employee to part-time employee or Consultant).</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“Stock” </w:t>
      </w:r>
      <w:r>
        <w:rPr>
          <w:rFonts w:ascii="Times New Roman" w:cs="Times New Roman" w:eastAsia="Times New Roman" w:hAnsi="Times New Roman"/>
          <w:sz w:val="17"/>
          <w:szCs w:val="17"/>
          <w:color w:val="auto"/>
        </w:rPr>
        <w:t>means the Common Stock, par value $0.001 per share, of the Company, subject to adjustments pursuant to Section 3.</w:t>
      </w:r>
    </w:p>
    <w:p>
      <w:pPr>
        <w:spacing w:after="0" w:line="16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“Stock Appreciation Right” </w:t>
      </w:r>
      <w:r>
        <w:rPr>
          <w:rFonts w:ascii="Times New Roman" w:cs="Times New Roman" w:eastAsia="Times New Roman" w:hAnsi="Times New Roman"/>
          <w:sz w:val="17"/>
          <w:szCs w:val="17"/>
          <w:color w:val="auto"/>
        </w:rPr>
        <w:t>means an Award entitling the recipient to receive shares of Stock (or cash, to the extent explicitly provided for in the applicable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 Agreement)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23"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“Subsidiary” </w:t>
      </w:r>
      <w:r>
        <w:rPr>
          <w:rFonts w:ascii="Times New Roman" w:cs="Times New Roman" w:eastAsia="Times New Roman" w:hAnsi="Times New Roman"/>
          <w:sz w:val="17"/>
          <w:szCs w:val="17"/>
          <w:color w:val="auto"/>
        </w:rPr>
        <w:t>means any corporation or other entity (other than the Company) in which the Company has at least a 50 percent interest, either directly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indirectly.</w:t>
      </w:r>
    </w:p>
    <w:p>
      <w:pPr>
        <w:spacing w:after="0" w:line="10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“Ten Percent Owner” </w:t>
      </w:r>
      <w:r>
        <w:rPr>
          <w:rFonts w:ascii="Times New Roman" w:cs="Times New Roman" w:eastAsia="Times New Roman" w:hAnsi="Times New Roman"/>
          <w:sz w:val="17"/>
          <w:szCs w:val="17"/>
          <w:color w:val="auto"/>
        </w:rPr>
        <w:t>means an employee who owns or is deemed to own (by reason of the attribution rules of Section 424(d) of the Code) more than 10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percent of the combined voting power of all classes of stock of the Company or any parent or subsidiary corporation.</w:t>
      </w:r>
    </w:p>
    <w:p>
      <w:pPr>
        <w:spacing w:after="0"/>
        <w:rPr>
          <w:sz w:val="20"/>
          <w:szCs w:val="20"/>
          <w:color w:val="auto"/>
        </w:rPr>
      </w:pPr>
      <w:r>
        <w:rPr>
          <w:rFonts w:ascii="Times New Roman" w:cs="Times New Roman" w:eastAsia="Times New Roman" w:hAnsi="Times New Roman"/>
          <w:sz w:val="17"/>
          <w:szCs w:val="17"/>
          <w:i w:val="1"/>
          <w:iCs w:val="1"/>
          <w:color w:val="auto"/>
        </w:rPr>
        <w:t xml:space="preserve">“Unrestricted Stock Award” </w:t>
      </w:r>
      <w:r>
        <w:rPr>
          <w:rFonts w:ascii="Times New Roman" w:cs="Times New Roman" w:eastAsia="Times New Roman" w:hAnsi="Times New Roman"/>
          <w:sz w:val="17"/>
          <w:szCs w:val="17"/>
          <w:color w:val="auto"/>
        </w:rPr>
        <w:t>means an Award of shares of Stock free of any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80"/>
          </w:cols>
          <w:pgMar w:left="300" w:top="108" w:right="31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6"/>
          <w:szCs w:val="16"/>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7"/>
          <w:szCs w:val="17"/>
          <w:u w:val="single" w:color="auto"/>
          <w:color w:val="auto"/>
        </w:rPr>
        <w:t>ADMINISTRATION OF PLAN; ADMINISTRATOR AUTHORITY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SELECT GRANTEES AND DETERMINE AWARDS</w:t>
      </w:r>
    </w:p>
    <w:p>
      <w:pPr>
        <w:spacing w:after="0" w:line="148" w:lineRule="exact"/>
        <w:rPr>
          <w:sz w:val="20"/>
          <w:szCs w:val="20"/>
          <w:color w:val="auto"/>
        </w:rPr>
      </w:pPr>
    </w:p>
    <w:p>
      <w:pPr>
        <w:jc w:val="both"/>
        <w:ind w:firstLine="514"/>
        <w:spacing w:after="0" w:line="245" w:lineRule="auto"/>
        <w:tabs>
          <w:tab w:leader="none" w:pos="1016" w:val="left"/>
        </w:tabs>
        <w:numPr>
          <w:ilvl w:val="0"/>
          <w:numId w:val="38"/>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Administration of Plan</w:t>
      </w:r>
      <w:r>
        <w:rPr>
          <w:rFonts w:ascii="Times New Roman" w:cs="Times New Roman" w:eastAsia="Times New Roman" w:hAnsi="Times New Roman"/>
          <w:sz w:val="17"/>
          <w:szCs w:val="17"/>
          <w:color w:val="auto"/>
        </w:rPr>
        <w:t>. The Committee (or another committee or a subcommittee of the Board assuming the functions of the Committee under the Plan) shall administer the Plan (except as otherwise permitted herein) and, unless otherwise determined by the Board, shall consist solely of two or more Non-Employee Directors appointed by and holding office at the pleasure of the Board, in accordance with the requirements of Rule 16b-3; provided that any action taken by the Committee shall be valid and effective, whether or not members of the Committee at the time of such action are later determined not to have satisfied the requirements for membership set forth in this Section 2(a), Rule 16b-3, or otherwise provided in any charter of the Committee. Notwithstanding any other provision of this Plan, the Board of Directors may exercise any and all powers of the Committee with respect to this Plan.</w:t>
      </w:r>
    </w:p>
    <w:p>
      <w:pPr>
        <w:spacing w:after="0" w:line="139" w:lineRule="exact"/>
        <w:rPr>
          <w:rFonts w:ascii="Times New Roman" w:cs="Times New Roman" w:eastAsia="Times New Roman" w:hAnsi="Times New Roman"/>
          <w:sz w:val="17"/>
          <w:szCs w:val="17"/>
          <w:u w:val="single" w:color="auto"/>
          <w:color w:val="auto"/>
        </w:rPr>
      </w:pPr>
    </w:p>
    <w:p>
      <w:pPr>
        <w:ind w:firstLine="514"/>
        <w:spacing w:after="0" w:line="276" w:lineRule="auto"/>
        <w:tabs>
          <w:tab w:leader="none" w:pos="1015" w:val="left"/>
        </w:tabs>
        <w:numPr>
          <w:ilvl w:val="0"/>
          <w:numId w:val="38"/>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Powers of Administrator</w:t>
      </w:r>
      <w:r>
        <w:rPr>
          <w:rFonts w:ascii="Times New Roman" w:cs="Times New Roman" w:eastAsia="Times New Roman" w:hAnsi="Times New Roman"/>
          <w:sz w:val="17"/>
          <w:szCs w:val="17"/>
          <w:color w:val="auto"/>
        </w:rPr>
        <w:t>. The Administrator shall have the power and authority to grant Awards consistent with the terms of the Plan, including the power and authority:</w:t>
      </w:r>
    </w:p>
    <w:p>
      <w:pPr>
        <w:spacing w:after="0" w:line="123" w:lineRule="exact"/>
        <w:rPr>
          <w:rFonts w:ascii="Times New Roman" w:cs="Times New Roman" w:eastAsia="Times New Roman" w:hAnsi="Times New Roman"/>
          <w:sz w:val="17"/>
          <w:szCs w:val="17"/>
          <w:u w:val="single" w:color="auto"/>
          <w:color w:val="auto"/>
        </w:rPr>
      </w:pPr>
    </w:p>
    <w:p>
      <w:pPr>
        <w:ind w:left="1520" w:hanging="497"/>
        <w:spacing w:after="0"/>
        <w:tabs>
          <w:tab w:leader="none" w:pos="152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select the individuals to whom Awards may from time to time be granted;</w:t>
      </w:r>
    </w:p>
    <w:p>
      <w:pPr>
        <w:spacing w:after="0" w:line="165" w:lineRule="exact"/>
        <w:rPr>
          <w:rFonts w:ascii="Times New Roman" w:cs="Times New Roman" w:eastAsia="Times New Roman" w:hAnsi="Times New Roman"/>
          <w:sz w:val="17"/>
          <w:szCs w:val="17"/>
          <w:color w:val="auto"/>
        </w:rPr>
      </w:pPr>
    </w:p>
    <w:p>
      <w:pPr>
        <w:jc w:val="both"/>
        <w:ind w:firstLine="1023"/>
        <w:spacing w:after="0" w:line="255" w:lineRule="auto"/>
        <w:tabs>
          <w:tab w:leader="none" w:pos="1523"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30" w:lineRule="exact"/>
        <w:rPr>
          <w:rFonts w:ascii="Times New Roman" w:cs="Times New Roman" w:eastAsia="Times New Roman" w:hAnsi="Times New Roman"/>
          <w:sz w:val="17"/>
          <w:szCs w:val="17"/>
          <w:color w:val="auto"/>
        </w:rPr>
      </w:pPr>
    </w:p>
    <w:p>
      <w:pPr>
        <w:ind w:left="1540" w:hanging="517"/>
        <w:spacing w:after="0"/>
        <w:tabs>
          <w:tab w:leader="none" w:pos="154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number of shares of Stock or amount of cash to be covered by any Award;</w:t>
      </w:r>
    </w:p>
    <w:p>
      <w:pPr>
        <w:spacing w:after="0" w:line="165" w:lineRule="exact"/>
        <w:rPr>
          <w:rFonts w:ascii="Times New Roman" w:cs="Times New Roman" w:eastAsia="Times New Roman" w:hAnsi="Times New Roman"/>
          <w:sz w:val="17"/>
          <w:szCs w:val="17"/>
          <w:color w:val="auto"/>
        </w:rPr>
      </w:pPr>
    </w:p>
    <w:p>
      <w:pPr>
        <w:ind w:firstLine="1023"/>
        <w:spacing w:after="0" w:line="276" w:lineRule="auto"/>
        <w:tabs>
          <w:tab w:leader="none" w:pos="1518"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Agreements;</w:t>
      </w:r>
    </w:p>
    <w:p>
      <w:pPr>
        <w:spacing w:after="0" w:line="112"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accelerate at any time the exercisability or vesting of all or any portion of any Award;</w:t>
      </w:r>
    </w:p>
    <w:p>
      <w:pPr>
        <w:spacing w:after="0" w:line="165" w:lineRule="exact"/>
        <w:rPr>
          <w:rFonts w:ascii="Times New Roman" w:cs="Times New Roman" w:eastAsia="Times New Roman" w:hAnsi="Times New Roman"/>
          <w:sz w:val="17"/>
          <w:szCs w:val="17"/>
          <w:color w:val="auto"/>
        </w:rPr>
      </w:pPr>
    </w:p>
    <w:p>
      <w:pPr>
        <w:ind w:firstLine="1023"/>
        <w:spacing w:after="0" w:line="276" w:lineRule="auto"/>
        <w:tabs>
          <w:tab w:leader="none" w:pos="1518"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Section 5(c) and Section 409A, to extend at any time the period in which Stock Options and Stock Appreciation Rights may be exercised; and</w:t>
      </w:r>
    </w:p>
    <w:p>
      <w:pPr>
        <w:spacing w:after="0" w:line="112" w:lineRule="exact"/>
        <w:rPr>
          <w:rFonts w:ascii="Times New Roman" w:cs="Times New Roman" w:eastAsia="Times New Roman" w:hAnsi="Times New Roman"/>
          <w:sz w:val="17"/>
          <w:szCs w:val="17"/>
          <w:color w:val="auto"/>
        </w:rPr>
      </w:pPr>
    </w:p>
    <w:p>
      <w:pPr>
        <w:jc w:val="both"/>
        <w:ind w:firstLine="1023"/>
        <w:spacing w:after="0" w:line="255" w:lineRule="auto"/>
        <w:tabs>
          <w:tab w:leader="none" w:pos="1523"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80"/>
          </w:cols>
          <w:pgMar w:left="300" w:top="108" w:right="31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6"/>
          <w:szCs w:val="16"/>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decisions and interpretations of the Administrator shall be final, binding and conclusive on all persons, including the Company and Plan grantees.</w:t>
      </w:r>
    </w:p>
    <w:p>
      <w:pPr>
        <w:spacing w:after="0" w:line="197" w:lineRule="exact"/>
        <w:rPr>
          <w:sz w:val="20"/>
          <w:szCs w:val="20"/>
          <w:color w:val="auto"/>
        </w:rPr>
      </w:pPr>
    </w:p>
    <w:p>
      <w:pPr>
        <w:jc w:val="both"/>
        <w:ind w:firstLine="514"/>
        <w:spacing w:after="0" w:line="245" w:lineRule="auto"/>
        <w:tabs>
          <w:tab w:leader="none" w:pos="1016" w:val="left"/>
        </w:tabs>
        <w:numPr>
          <w:ilvl w:val="0"/>
          <w:numId w:val="39"/>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Delegation of Authority to Grant Awards</w:t>
      </w:r>
      <w:r>
        <w:rPr>
          <w:rFonts w:ascii="Times New Roman" w:cs="Times New Roman" w:eastAsia="Times New Roman" w:hAnsi="Times New Roman"/>
          <w:sz w:val="17"/>
          <w:szCs w:val="17"/>
          <w:color w:val="auto"/>
        </w:rPr>
        <w:t>. Subject to applicable law, and except with respect to Awards intended to comply with Rule 16b-3, the Administrator, in its discretion, may delegate to one or more officers of the Company, including the Chief Executive Officer of the Company, all or part of the Administrator’s authority and duties with respect to the granting of Awards.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39" w:lineRule="exact"/>
        <w:rPr>
          <w:rFonts w:ascii="Times New Roman" w:cs="Times New Roman" w:eastAsia="Times New Roman" w:hAnsi="Times New Roman"/>
          <w:sz w:val="17"/>
          <w:szCs w:val="17"/>
          <w:u w:val="single" w:color="auto"/>
          <w:color w:val="auto"/>
        </w:rPr>
      </w:pPr>
    </w:p>
    <w:p>
      <w:pPr>
        <w:ind w:firstLine="514"/>
        <w:spacing w:after="0" w:line="263" w:lineRule="auto"/>
        <w:tabs>
          <w:tab w:leader="none" w:pos="1015" w:val="left"/>
        </w:tabs>
        <w:numPr>
          <w:ilvl w:val="0"/>
          <w:numId w:val="39"/>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Award Agreement</w:t>
      </w:r>
      <w:r>
        <w:rPr>
          <w:rFonts w:ascii="Times New Roman" w:cs="Times New Roman" w:eastAsia="Times New Roman" w:hAnsi="Times New Roman"/>
          <w:sz w:val="17"/>
          <w:szCs w:val="17"/>
          <w:color w:val="auto"/>
        </w:rPr>
        <w:t>. Each Award under the Plan shall be evidenced by an Award Agreement that sets forth the terms, conditions and limitations for each Award which may include, without limitation, the term of an Award and the provisions applicable in the event employment or service terminates.</w:t>
      </w:r>
    </w:p>
    <w:p>
      <w:pPr>
        <w:spacing w:after="0" w:line="133" w:lineRule="exact"/>
        <w:rPr>
          <w:rFonts w:ascii="Times New Roman" w:cs="Times New Roman" w:eastAsia="Times New Roman" w:hAnsi="Times New Roman"/>
          <w:sz w:val="17"/>
          <w:szCs w:val="17"/>
          <w:u w:val="single" w:color="auto"/>
          <w:color w:val="auto"/>
        </w:rPr>
      </w:pPr>
    </w:p>
    <w:p>
      <w:pPr>
        <w:jc w:val="both"/>
        <w:ind w:firstLine="514"/>
        <w:spacing w:after="0" w:line="244" w:lineRule="auto"/>
        <w:tabs>
          <w:tab w:leader="none" w:pos="1016" w:val="left"/>
        </w:tabs>
        <w:numPr>
          <w:ilvl w:val="0"/>
          <w:numId w:val="39"/>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2" w:lineRule="exact"/>
        <w:rPr>
          <w:rFonts w:ascii="Times New Roman" w:cs="Times New Roman" w:eastAsia="Times New Roman" w:hAnsi="Times New Roman"/>
          <w:sz w:val="17"/>
          <w:szCs w:val="17"/>
          <w:u w:val="single" w:color="auto"/>
          <w:color w:val="auto"/>
        </w:rPr>
      </w:pPr>
    </w:p>
    <w:p>
      <w:pPr>
        <w:ind w:right="80"/>
        <w:spacing w:after="0" w:line="251" w:lineRule="auto"/>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Foreign Award Recipients</w:t>
      </w:r>
      <w:r>
        <w:rPr>
          <w:rFonts w:ascii="Times New Roman" w:cs="Times New Roman" w:eastAsia="Times New Roman" w:hAnsi="Times New Roman"/>
          <w:sz w:val="17"/>
          <w:szCs w:val="17"/>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 or any applicable United Kingdom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80"/>
          </w:cols>
          <w:pgMar w:left="300" w:top="108" w:right="31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6"/>
          <w:szCs w:val="16"/>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u w:val="single" w:color="auto"/>
          <w:color w:val="auto"/>
        </w:rPr>
        <w:t>STOCK ISSUABLE UNDER THE PLAN; MERGERS; SUBSTITUTION</w:t>
      </w:r>
    </w:p>
    <w:p>
      <w:pPr>
        <w:spacing w:after="0" w:line="161" w:lineRule="exact"/>
        <w:rPr>
          <w:sz w:val="20"/>
          <w:szCs w:val="20"/>
          <w:color w:val="auto"/>
        </w:rPr>
      </w:pPr>
    </w:p>
    <w:p>
      <w:pPr>
        <w:jc w:val="both"/>
        <w:ind w:firstLine="514"/>
        <w:spacing w:after="0" w:line="227" w:lineRule="auto"/>
        <w:tabs>
          <w:tab w:leader="none" w:pos="1016" w:val="left"/>
        </w:tabs>
        <w:numPr>
          <w:ilvl w:val="0"/>
          <w:numId w:val="40"/>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u w:val="single" w:color="auto"/>
          <w:color w:val="auto"/>
        </w:rPr>
        <w:t>Stock Issuable</w:t>
      </w:r>
      <w:r>
        <w:rPr>
          <w:rFonts w:ascii="Times New Roman" w:cs="Times New Roman" w:eastAsia="Times New Roman" w:hAnsi="Times New Roman"/>
          <w:sz w:val="16"/>
          <w:szCs w:val="16"/>
          <w:color w:val="auto"/>
        </w:rPr>
        <w:t>. Subject to adjustment in accordance with Section 3(c), no more than 5,719,005</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Shares shall be available for the grant of Awards under the Plan. The amount in the preceding sentence reflects the 3,119,005</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xml:space="preserve"> Shares underlying outstanding Awards as of the Effective Date 15,594,598</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 xml:space="preserve"> Shares prior to the</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October 2, 2025 1:5 reverse split (“Pre-Reverse Split Shares”)), plus an additional 2,600,000 Shares (13,000,000 Pre-Reverse Split Shares). The maximum aggregate number of shares of Stock that may be issued in the form of Incentive Stock Options shall not exceed 2,164,801 Shares (10,824,005 Pre-Reverse Split Shares), which represents ten percent (10%) of the number of issued and outstanding shares of Stock as of the date on which the Company gained admission to the AIM market of the London Stock Exchange, subject to adjustment as provided in Section 3(c). Shares of Stock underlying any awards under the Plan that are forfeited, canceled,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Subject to such overall limitations, shares of Stock may be issued up to such maximum number pursuant to any type or types of Award. The shares available for issuance under the Plan may be authorized but unissued shares of Stock, treasury shares or shares of Stock reacquired by the Company.</w:t>
      </w:r>
    </w:p>
    <w:p>
      <w:pPr>
        <w:spacing w:after="0" w:line="143" w:lineRule="exact"/>
        <w:rPr>
          <w:sz w:val="20"/>
          <w:szCs w:val="20"/>
          <w:color w:val="auto"/>
        </w:rPr>
      </w:pPr>
    </w:p>
    <w:p>
      <w:pPr>
        <w:jc w:val="both"/>
        <w:ind w:firstLine="514"/>
        <w:spacing w:after="0" w:line="243" w:lineRule="auto"/>
        <w:tabs>
          <w:tab w:leader="none" w:pos="1015" w:val="left"/>
        </w:tabs>
        <w:numPr>
          <w:ilvl w:val="0"/>
          <w:numId w:val="41"/>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Substitute Awards</w:t>
      </w:r>
      <w:r>
        <w:rPr>
          <w:rFonts w:ascii="Times New Roman" w:cs="Times New Roman" w:eastAsia="Times New Roman" w:hAnsi="Times New Roman"/>
          <w:sz w:val="17"/>
          <w:szCs w:val="17"/>
          <w:color w:val="auto"/>
        </w:rPr>
        <w:t>. Awards may, in the sole discretion of the Administrator, be granted under the Plan in assumption of, or in substitution for, outstanding awards previously granted by an entity acquired by the Company or Subsidiary or with which the Company combines (“Substitute Awards”). Substitute Awards shall not be counted against the shares of Stock available for issuance under the Plan; provided, that, Substitute Awards issued in connection with the assumption of, or in substitution for, outstanding options intended to qualify as Incentive Stock Options shall be counted against the number of shares of Stock that may be issued as Incentive Stock Options. Subject to applicable stock exchange listing requirements, available shares under a shareholder-approved plan of an entity directly or indirectly acquired by the Company or with which the Company combines (as appropriately adjusted to reflect such acquisition or transaction) may be used for Awards under the Plan and shall not count against the number of shares of Stock available for issuance under the Plan.</w:t>
      </w:r>
    </w:p>
    <w:p>
      <w:pPr>
        <w:jc w:val="both"/>
        <w:ind w:right="40"/>
        <w:spacing w:after="0" w:line="257" w:lineRule="auto"/>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Changes in Stock</w:t>
      </w:r>
      <w:r>
        <w:rPr>
          <w:rFonts w:ascii="Times New Roman" w:cs="Times New Roman" w:eastAsia="Times New Roman" w:hAnsi="Times New Roman"/>
          <w:sz w:val="17"/>
          <w:szCs w:val="17"/>
          <w:color w:val="auto"/>
        </w:rPr>
        <w:t>. Subject to Section 3(d)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134747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51" w:lineRule="exact"/>
        <w:rPr>
          <w:sz w:val="20"/>
          <w:szCs w:val="20"/>
          <w:color w:val="auto"/>
        </w:rPr>
      </w:pPr>
    </w:p>
    <w:p>
      <w:pPr>
        <w:ind w:left="80" w:hanging="75"/>
        <w:spacing w:after="0"/>
        <w:tabs>
          <w:tab w:leader="none" w:pos="80" w:val="left"/>
        </w:tabs>
        <w:numPr>
          <w:ilvl w:val="0"/>
          <w:numId w:val="4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5"/>
          <w:szCs w:val="15"/>
          <w:u w:val="single" w:color="auto"/>
          <w:color w:val="auto"/>
        </w:rPr>
        <w:t>Reverse-split adjusted</w:t>
      </w:r>
      <w:r>
        <w:rPr>
          <w:rFonts w:ascii="Times New Roman" w:cs="Times New Roman" w:eastAsia="Times New Roman" w:hAnsi="Times New Roman"/>
          <w:sz w:val="15"/>
          <w:szCs w:val="15"/>
          <w:color w:val="auto"/>
        </w:rPr>
        <w:t xml:space="preserve"> number of shares underlying outstanding awards as of the Effective Date of the restatement, PLUS 2,600,000</w:t>
      </w: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9"/>
          <w:szCs w:val="9"/>
          <w:color w:val="auto"/>
        </w:rPr>
        <w:t xml:space="preserve">2 </w:t>
      </w:r>
      <w:r>
        <w:rPr>
          <w:rFonts w:ascii="Times New Roman" w:cs="Times New Roman" w:eastAsia="Times New Roman" w:hAnsi="Times New Roman"/>
          <w:sz w:val="14"/>
          <w:szCs w:val="14"/>
          <w:u w:val="single" w:color="auto"/>
          <w:color w:val="auto"/>
        </w:rPr>
        <w:t>Reverse-split adjusted</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number of shares underlying outstanding awards as of the Effective Date of the restatement.</w:t>
      </w:r>
    </w:p>
    <w:p>
      <w:pPr>
        <w:spacing w:after="0" w:line="15" w:lineRule="exact"/>
        <w:rPr>
          <w:rFonts w:ascii="Times New Roman" w:cs="Times New Roman" w:eastAsia="Times New Roman" w:hAnsi="Times New Roman"/>
          <w:sz w:val="18"/>
          <w:szCs w:val="18"/>
          <w:color w:val="auto"/>
          <w:vertAlign w:val="superscript"/>
        </w:rPr>
      </w:pP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9"/>
          <w:szCs w:val="9"/>
          <w:color w:val="auto"/>
        </w:rPr>
        <w:t xml:space="preserve">3 </w:t>
      </w:r>
      <w:r>
        <w:rPr>
          <w:rFonts w:ascii="Times New Roman" w:cs="Times New Roman" w:eastAsia="Times New Roman" w:hAnsi="Times New Roman"/>
          <w:sz w:val="14"/>
          <w:szCs w:val="14"/>
          <w:u w:val="single" w:color="auto"/>
          <w:color w:val="auto"/>
        </w:rPr>
        <w:t>NON-reverse-split adjusted</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number of shares underlying outstanding awards as of the Effective Date of the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80"/>
          </w:cols>
          <w:pgMar w:left="300" w:top="108" w:right="31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6"/>
          <w:szCs w:val="16"/>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to the extent necessary to preserve the economic intent of such Awards.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48" w:lineRule="exact"/>
        <w:rPr>
          <w:sz w:val="20"/>
          <w:szCs w:val="20"/>
          <w:color w:val="auto"/>
        </w:rPr>
      </w:pPr>
    </w:p>
    <w:p>
      <w:pPr>
        <w:ind w:left="880" w:hanging="366"/>
        <w:spacing w:after="0"/>
        <w:tabs>
          <w:tab w:leader="none" w:pos="8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Mergers and Other Transactions</w:t>
      </w:r>
      <w:r>
        <w:rPr>
          <w:rFonts w:ascii="Times New Roman" w:cs="Times New Roman" w:eastAsia="Times New Roman" w:hAnsi="Times New Roman"/>
          <w:sz w:val="17"/>
          <w:szCs w:val="17"/>
          <w:color w:val="auto"/>
        </w:rPr>
        <w:t>. In the case of and subject to the consummation</w:t>
      </w:r>
    </w:p>
    <w:p>
      <w:pPr>
        <w:spacing w:after="0" w:line="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of a Change in Control, the parties thereto may cause the assumption or continuation by the successor entity of Awards theretofore granted, or the substitution of such Awards with new Awards of the successor entity or parent thereof, with appropriate adjustment as to the number and kind of shares and, if appropriate, the per share exercise prices, as such parties shall agree. To the extent the parties to such Change in Control do not provide for the assumption, continuation or substitution of Awards, upon the effective time of the Change in Control, the Plan and all outstanding Awards granted hereunder shall terminate. In such case, except as may be otherwise provided in the relevant Award Agreement, all Awards with time-based vesting, conditions or restrictions shall become fully vested and exercisable or nonforfeitable as of the effective time of the Change in Control, and all Awards with conditions and restrictions relating to the attainment of performance goals for which there is an incomplete performance period shall become vested and exercisable or nonforfeitable at 100% of the target level of performance achievement as of the effective time of the Change in Control (irrespective of actual performance through the date of the Change in Control).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80"/>
          </w:cols>
          <w:pgMar w:left="300" w:top="108" w:right="31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6"/>
          <w:szCs w:val="16"/>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Change in Control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ELIGIBILITY</w:t>
      </w:r>
    </w:p>
    <w:p>
      <w:pPr>
        <w:spacing w:after="0" w:line="165"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Grantees under the Plan will be such employees, Non-Employee Directors and Consultants of the Company and its Affiliates as are selected from time to time by the Administrator in its sole discretion.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u w:val="single" w:color="auto"/>
          <w:color w:val="auto"/>
        </w:rPr>
        <w:t>STOCK OPTIONS</w:t>
      </w:r>
    </w:p>
    <w:p>
      <w:pPr>
        <w:spacing w:after="0" w:line="165" w:lineRule="exact"/>
        <w:rPr>
          <w:sz w:val="20"/>
          <w:szCs w:val="20"/>
          <w:color w:val="auto"/>
        </w:rPr>
      </w:pPr>
    </w:p>
    <w:p>
      <w:pPr>
        <w:ind w:firstLine="514"/>
        <w:spacing w:after="0" w:line="276" w:lineRule="auto"/>
        <w:tabs>
          <w:tab w:leader="none" w:pos="10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 of Stock Options</w:t>
      </w:r>
      <w:r>
        <w:rPr>
          <w:rFonts w:ascii="Times New Roman" w:cs="Times New Roman" w:eastAsia="Times New Roman" w:hAnsi="Times New Roman"/>
          <w:sz w:val="17"/>
          <w:szCs w:val="17"/>
          <w:color w:val="auto"/>
        </w:rPr>
        <w:t>. The Administrator may grant Stock Options under the Plan. Any Stock Option granted under the Plan shall be in such form as the Administrator may from time to time approve.</w:t>
      </w:r>
    </w:p>
    <w:p>
      <w:pPr>
        <w:spacing w:after="0" w:line="11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7"/>
          <w:szCs w:val="17"/>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41"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7"/>
          <w:szCs w:val="17"/>
          <w:color w:val="auto"/>
        </w:rPr>
        <w:t>Stock Options granted pursuant to this Section 5 shall be subject to the following terms and conditions and shall contain such additional terms and conditions, not inconsistent with the terms of the Plan, as the Administrator shall deem desirable.</w:t>
      </w:r>
    </w:p>
    <w:p>
      <w:pPr>
        <w:spacing w:after="0" w:line="134" w:lineRule="exact"/>
        <w:rPr>
          <w:sz w:val="20"/>
          <w:szCs w:val="20"/>
          <w:color w:val="auto"/>
        </w:rPr>
      </w:pPr>
    </w:p>
    <w:p>
      <w:pPr>
        <w:jc w:val="both"/>
        <w:ind w:firstLine="514"/>
        <w:spacing w:after="0" w:line="249" w:lineRule="auto"/>
        <w:tabs>
          <w:tab w:leader="none" w:pos="101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w:t>
      </w:r>
    </w:p>
    <w:p>
      <w:pPr>
        <w:spacing w:after="0" w:line="144" w:lineRule="exact"/>
        <w:rPr>
          <w:rFonts w:ascii="Times New Roman" w:cs="Times New Roman" w:eastAsia="Times New Roman" w:hAnsi="Times New Roman"/>
          <w:sz w:val="17"/>
          <w:szCs w:val="17"/>
          <w:color w:val="auto"/>
        </w:rPr>
      </w:pPr>
    </w:p>
    <w:p>
      <w:pPr>
        <w:jc w:val="both"/>
        <w:ind w:firstLine="514"/>
        <w:spacing w:after="0" w:line="249" w:lineRule="auto"/>
        <w:tabs>
          <w:tab w:leader="none" w:pos="10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 Term</w:t>
      </w:r>
      <w:r>
        <w:rPr>
          <w:rFonts w:ascii="Times New Roman" w:cs="Times New Roman" w:eastAsia="Times New Roman" w:hAnsi="Times New Roman"/>
          <w:sz w:val="17"/>
          <w:szCs w:val="17"/>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44" w:lineRule="exact"/>
        <w:rPr>
          <w:rFonts w:ascii="Times New Roman" w:cs="Times New Roman" w:eastAsia="Times New Roman" w:hAnsi="Times New Roman"/>
          <w:sz w:val="17"/>
          <w:szCs w:val="17"/>
          <w:color w:val="auto"/>
        </w:rPr>
      </w:pPr>
    </w:p>
    <w:p>
      <w:pPr>
        <w:jc w:val="both"/>
        <w:ind w:firstLine="514"/>
        <w:spacing w:after="0" w:line="246" w:lineRule="auto"/>
        <w:tabs>
          <w:tab w:leader="none" w:pos="101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Exercisability; Rights of a Stockholder</w:t>
      </w:r>
      <w:r>
        <w:rPr>
          <w:rFonts w:ascii="Times New Roman" w:cs="Times New Roman" w:eastAsia="Times New Roman" w:hAnsi="Times New Roman"/>
          <w:sz w:val="17"/>
          <w:szCs w:val="17"/>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ind w:firstLine="514"/>
        <w:spacing w:after="0" w:line="254" w:lineRule="auto"/>
        <w:tabs>
          <w:tab w:leader="none" w:pos="10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Method of Exercise</w:t>
      </w:r>
      <w:r>
        <w:rPr>
          <w:rFonts w:ascii="Times New Roman" w:cs="Times New Roman" w:eastAsia="Times New Roman" w:hAnsi="Times New Roman"/>
          <w:sz w:val="17"/>
          <w:szCs w:val="17"/>
          <w:color w:val="auto"/>
        </w:rPr>
        <w:t>. Stock Options may be exercised in whole or in part, by giving written or electronic notice of exercise to the Company, specifying the number of shares to be purchased. Payment of the purchase price may be made by one or more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80"/>
          </w:cols>
          <w:pgMar w:left="300" w:top="108" w:right="31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6"/>
          <w:szCs w:val="16"/>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methods, as permitted in the sole discretion of the Administrator, except to the extent otherwise provided in the Option Award Agreement:</w:t>
      </w:r>
    </w:p>
    <w:p>
      <w:pPr>
        <w:spacing w:after="0" w:line="176" w:lineRule="exact"/>
        <w:rPr>
          <w:sz w:val="20"/>
          <w:szCs w:val="20"/>
          <w:color w:val="auto"/>
        </w:rPr>
      </w:pPr>
    </w:p>
    <w:p>
      <w:pPr>
        <w:ind w:left="1520" w:hanging="497"/>
        <w:spacing w:after="0"/>
        <w:tabs>
          <w:tab w:leader="none" w:pos="15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cash, by certified or bank check or other instrument acceptable to the Administrator;</w:t>
      </w:r>
    </w:p>
    <w:p>
      <w:pPr>
        <w:spacing w:after="0" w:line="165" w:lineRule="exact"/>
        <w:rPr>
          <w:rFonts w:ascii="Times New Roman" w:cs="Times New Roman" w:eastAsia="Times New Roman" w:hAnsi="Times New Roman"/>
          <w:sz w:val="17"/>
          <w:szCs w:val="17"/>
          <w:color w:val="auto"/>
        </w:rPr>
      </w:pPr>
    </w:p>
    <w:p>
      <w:pPr>
        <w:ind w:firstLine="1023"/>
        <w:spacing w:after="0" w:line="263" w:lineRule="auto"/>
        <w:tabs>
          <w:tab w:leader="none" w:pos="1523"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23" w:lineRule="exact"/>
        <w:rPr>
          <w:rFonts w:ascii="Times New Roman" w:cs="Times New Roman" w:eastAsia="Times New Roman" w:hAnsi="Times New Roman"/>
          <w:sz w:val="17"/>
          <w:szCs w:val="17"/>
          <w:color w:val="auto"/>
        </w:rPr>
      </w:pPr>
    </w:p>
    <w:p>
      <w:pPr>
        <w:jc w:val="both"/>
        <w:ind w:firstLine="1023"/>
        <w:spacing w:after="0" w:line="252" w:lineRule="auto"/>
        <w:tabs>
          <w:tab w:leader="none" w:pos="152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33" w:lineRule="exact"/>
        <w:rPr>
          <w:rFonts w:ascii="Times New Roman" w:cs="Times New Roman" w:eastAsia="Times New Roman" w:hAnsi="Times New Roman"/>
          <w:sz w:val="17"/>
          <w:szCs w:val="17"/>
          <w:color w:val="auto"/>
        </w:rPr>
      </w:pPr>
    </w:p>
    <w:p>
      <w:pPr>
        <w:jc w:val="both"/>
        <w:ind w:firstLine="1023"/>
        <w:spacing w:after="0" w:line="255" w:lineRule="auto"/>
        <w:tabs>
          <w:tab w:leader="none" w:pos="151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30"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any combination of the foregoing methods.</w:t>
      </w:r>
    </w:p>
    <w:p>
      <w:pPr>
        <w:spacing w:after="0" w:line="165" w:lineRule="exact"/>
        <w:rPr>
          <w:sz w:val="20"/>
          <w:szCs w:val="20"/>
          <w:color w:val="auto"/>
        </w:rPr>
      </w:pPr>
    </w:p>
    <w:p>
      <w:pPr>
        <w:jc w:val="both"/>
        <w:ind w:firstLine="1019"/>
        <w:spacing w:after="0" w:line="243" w:lineRule="auto"/>
        <w:rPr>
          <w:sz w:val="20"/>
          <w:szCs w:val="20"/>
          <w:color w:val="auto"/>
        </w:rPr>
      </w:pPr>
      <w:r>
        <w:rPr>
          <w:rFonts w:ascii="Times New Roman" w:cs="Times New Roman" w:eastAsia="Times New Roman" w:hAnsi="Times New Roman"/>
          <w:sz w:val="17"/>
          <w:szCs w:val="17"/>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Agreement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5" w:lineRule="exact"/>
        <w:rPr>
          <w:sz w:val="20"/>
          <w:szCs w:val="20"/>
          <w:color w:val="auto"/>
        </w:rPr>
      </w:pPr>
    </w:p>
    <w:p>
      <w:pPr>
        <w:ind w:right="100" w:firstLine="5"/>
        <w:spacing w:after="0" w:line="254" w:lineRule="auto"/>
        <w:tabs>
          <w:tab w:leader="none" w:pos="339"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Limit on Incentive Stock Options</w:t>
      </w:r>
      <w:r>
        <w:rPr>
          <w:rFonts w:ascii="Times New Roman" w:cs="Times New Roman" w:eastAsia="Times New Roman" w:hAnsi="Times New Roman"/>
          <w:sz w:val="17"/>
          <w:szCs w:val="17"/>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80"/>
          </w:cols>
          <w:pgMar w:left="300" w:top="108" w:right="31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6"/>
          <w:szCs w:val="16"/>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SECTION 6. </w:t>
      </w:r>
      <w:r>
        <w:rPr>
          <w:rFonts w:ascii="Times New Roman" w:cs="Times New Roman" w:eastAsia="Times New Roman" w:hAnsi="Times New Roman"/>
          <w:sz w:val="17"/>
          <w:szCs w:val="17"/>
          <w:u w:val="single" w:color="auto"/>
          <w:color w:val="auto"/>
        </w:rPr>
        <w:t>STOCK APPRECIATION RIGHTS</w:t>
      </w:r>
    </w:p>
    <w:p>
      <w:pPr>
        <w:spacing w:after="0" w:line="165" w:lineRule="exact"/>
        <w:rPr>
          <w:sz w:val="20"/>
          <w:szCs w:val="20"/>
          <w:color w:val="auto"/>
        </w:rPr>
      </w:pPr>
    </w:p>
    <w:p>
      <w:pPr>
        <w:jc w:val="both"/>
        <w:ind w:firstLine="514"/>
        <w:spacing w:after="0" w:line="248" w:lineRule="auto"/>
        <w:tabs>
          <w:tab w:leader="none" w:pos="1016" w:val="left"/>
        </w:tabs>
        <w:numPr>
          <w:ilvl w:val="0"/>
          <w:numId w:val="48"/>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Award of Stock Appreciation Rights</w:t>
      </w:r>
      <w:r>
        <w:rPr>
          <w:rFonts w:ascii="Times New Roman" w:cs="Times New Roman" w:eastAsia="Times New Roman" w:hAnsi="Times New Roman"/>
          <w:sz w:val="17"/>
          <w:szCs w:val="17"/>
          <w:color w:val="auto"/>
        </w:rPr>
        <w:t>. The Administrator may grant Stock Appreciation Rights under the Plan. A Stock Appreciation Right is an Award entitling the recipient to receive shares of Stock (or cash, to the extent explicitly provided for in the applicable Award Agreement)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46" w:lineRule="exact"/>
        <w:rPr>
          <w:rFonts w:ascii="Times New Roman" w:cs="Times New Roman" w:eastAsia="Times New Roman" w:hAnsi="Times New Roman"/>
          <w:sz w:val="17"/>
          <w:szCs w:val="17"/>
          <w:u w:val="single" w:color="auto"/>
          <w:color w:val="auto"/>
        </w:rPr>
      </w:pPr>
    </w:p>
    <w:p>
      <w:pPr>
        <w:ind w:firstLine="514"/>
        <w:spacing w:after="0" w:line="263" w:lineRule="auto"/>
        <w:tabs>
          <w:tab w:leader="none" w:pos="1015" w:val="left"/>
        </w:tabs>
        <w:numPr>
          <w:ilvl w:val="0"/>
          <w:numId w:val="48"/>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Exercise Price of Stock Appreciation Rights</w:t>
      </w:r>
      <w:r>
        <w:rPr>
          <w:rFonts w:ascii="Times New Roman" w:cs="Times New Roman" w:eastAsia="Times New Roman" w:hAnsi="Times New Roman"/>
          <w:sz w:val="17"/>
          <w:szCs w:val="17"/>
          <w:color w:val="auto"/>
        </w:rPr>
        <w:t>. The exercise price of a Stock Appreciation Right shall not be less than 100 percent of the Fair Market Value of the Stock on the date of grant.</w:t>
      </w:r>
    </w:p>
    <w:p>
      <w:pPr>
        <w:spacing w:after="0" w:line="123" w:lineRule="exact"/>
        <w:rPr>
          <w:rFonts w:ascii="Times New Roman" w:cs="Times New Roman" w:eastAsia="Times New Roman" w:hAnsi="Times New Roman"/>
          <w:sz w:val="17"/>
          <w:szCs w:val="17"/>
          <w:u w:val="single" w:color="auto"/>
          <w:color w:val="auto"/>
        </w:rPr>
      </w:pPr>
    </w:p>
    <w:p>
      <w:pPr>
        <w:ind w:firstLine="514"/>
        <w:spacing w:after="0" w:line="276" w:lineRule="auto"/>
        <w:tabs>
          <w:tab w:leader="none" w:pos="1016" w:val="left"/>
        </w:tabs>
        <w:numPr>
          <w:ilvl w:val="0"/>
          <w:numId w:val="48"/>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Grant and Exercise of Stock Appreciation Rights</w:t>
      </w:r>
      <w:r>
        <w:rPr>
          <w:rFonts w:ascii="Times New Roman" w:cs="Times New Roman" w:eastAsia="Times New Roman" w:hAnsi="Times New Roman"/>
          <w:sz w:val="17"/>
          <w:szCs w:val="17"/>
          <w:color w:val="auto"/>
        </w:rPr>
        <w:t>. Stock Appreciation Rights may be granted by the Administrator independently of any Stock Option granted pursuant to Section 5 of the Plan.</w:t>
      </w:r>
    </w:p>
    <w:p>
      <w:pPr>
        <w:spacing w:after="0" w:line="112" w:lineRule="exact"/>
        <w:rPr>
          <w:rFonts w:ascii="Times New Roman" w:cs="Times New Roman" w:eastAsia="Times New Roman" w:hAnsi="Times New Roman"/>
          <w:sz w:val="17"/>
          <w:szCs w:val="17"/>
          <w:u w:val="single" w:color="auto"/>
          <w:color w:val="auto"/>
        </w:rPr>
      </w:pPr>
    </w:p>
    <w:p>
      <w:pPr>
        <w:jc w:val="both"/>
        <w:ind w:firstLine="514"/>
        <w:spacing w:after="0" w:line="255" w:lineRule="auto"/>
        <w:tabs>
          <w:tab w:leader="none" w:pos="1015" w:val="left"/>
        </w:tabs>
        <w:numPr>
          <w:ilvl w:val="0"/>
          <w:numId w:val="48"/>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Terms and Conditions of Stock Appreciation Rights</w:t>
      </w:r>
      <w:r>
        <w:rPr>
          <w:rFonts w:ascii="Times New Roman" w:cs="Times New Roman" w:eastAsia="Times New Roman" w:hAnsi="Times New Roman"/>
          <w:sz w:val="17"/>
          <w:szCs w:val="17"/>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SECTION 7. </w:t>
      </w:r>
      <w:r>
        <w:rPr>
          <w:rFonts w:ascii="Times New Roman" w:cs="Times New Roman" w:eastAsia="Times New Roman" w:hAnsi="Times New Roman"/>
          <w:sz w:val="17"/>
          <w:szCs w:val="17"/>
          <w:u w:val="single" w:color="auto"/>
          <w:color w:val="auto"/>
        </w:rPr>
        <w:t>RESTRICTED STOCK AWARDS</w:t>
      </w:r>
    </w:p>
    <w:p>
      <w:pPr>
        <w:spacing w:after="0" w:line="176" w:lineRule="exact"/>
        <w:rPr>
          <w:sz w:val="20"/>
          <w:szCs w:val="20"/>
          <w:color w:val="auto"/>
        </w:rPr>
      </w:pPr>
    </w:p>
    <w:p>
      <w:pPr>
        <w:jc w:val="both"/>
        <w:ind w:firstLine="514"/>
        <w:spacing w:after="0" w:line="249" w:lineRule="auto"/>
        <w:tabs>
          <w:tab w:leader="none" w:pos="899"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Nature of Restricted Stock Awards</w:t>
      </w:r>
      <w:r>
        <w:rPr>
          <w:rFonts w:ascii="Times New Roman" w:cs="Times New Roman" w:eastAsia="Times New Roman" w:hAnsi="Times New Roman"/>
          <w:sz w:val="17"/>
          <w:szCs w:val="17"/>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44" w:lineRule="exact"/>
        <w:rPr>
          <w:rFonts w:ascii="Times New Roman" w:cs="Times New Roman" w:eastAsia="Times New Roman" w:hAnsi="Times New Roman"/>
          <w:sz w:val="17"/>
          <w:szCs w:val="17"/>
          <w:color w:val="auto"/>
        </w:rPr>
      </w:pPr>
    </w:p>
    <w:p>
      <w:pPr>
        <w:jc w:val="both"/>
        <w:ind w:firstLine="5"/>
        <w:spacing w:after="0" w:line="245" w:lineRule="auto"/>
        <w:tabs>
          <w:tab w:leader="none" w:pos="36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a Stockholder</w:t>
      </w:r>
      <w:r>
        <w:rPr>
          <w:rFonts w:ascii="Times New Roman" w:cs="Times New Roman" w:eastAsia="Times New Roman" w:hAnsi="Times New Roman"/>
          <w:sz w:val="17"/>
          <w:szCs w:val="17"/>
          <w:color w:val="auto"/>
        </w:rPr>
        <w:t>. Unless otherwise provided in an Award Agreement, a grantee shall not have the rights of a stockholder with respect to the voting of, or receipt of dividends with respect to, Restricted Shares, unless and until the grantee becomes vested in such Restricted Shares.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39" w:lineRule="exact"/>
        <w:rPr>
          <w:rFonts w:ascii="Times New Roman" w:cs="Times New Roman" w:eastAsia="Times New Roman" w:hAnsi="Times New Roman"/>
          <w:sz w:val="17"/>
          <w:szCs w:val="17"/>
          <w:color w:val="auto"/>
        </w:rPr>
      </w:pPr>
    </w:p>
    <w:p>
      <w:pPr>
        <w:jc w:val="both"/>
        <w:ind w:firstLine="514"/>
        <w:spacing w:after="0" w:line="255" w:lineRule="auto"/>
        <w:tabs>
          <w:tab w:leader="none" w:pos="899"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w:t>
      </w:r>
      <w:r>
        <w:rPr>
          <w:rFonts w:ascii="Times New Roman" w:cs="Times New Roman" w:eastAsia="Times New Roman" w:hAnsi="Times New Roman"/>
          <w:sz w:val="17"/>
          <w:szCs w:val="17"/>
          <w:color w:val="auto"/>
        </w:rPr>
        <w:t>. Restricted Shares may not be sold, assigned, transferred, pledged or otherwise encumbered or disposed of except as specifically provided herein or in the Restricted Stock Award Agreement. Except as may otherwise be provided by the Administrator either in the Award Agreement or, subject to Section 16 below, in writing after the Award is issued, if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80"/>
          </w:cols>
          <w:pgMar w:left="300" w:top="108" w:right="31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6"/>
          <w:szCs w:val="16"/>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forfeited by the grantee and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40" w:lineRule="exact"/>
        <w:rPr>
          <w:sz w:val="20"/>
          <w:szCs w:val="20"/>
          <w:color w:val="auto"/>
        </w:rPr>
      </w:pPr>
    </w:p>
    <w:p>
      <w:pPr>
        <w:jc w:val="both"/>
        <w:ind w:firstLine="514"/>
        <w:spacing w:after="0" w:line="248" w:lineRule="auto"/>
        <w:tabs>
          <w:tab w:leader="none" w:pos="1015" w:val="left"/>
        </w:tabs>
        <w:numPr>
          <w:ilvl w:val="0"/>
          <w:numId w:val="51"/>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Vesting of Restricted Shares</w:t>
      </w:r>
      <w:r>
        <w:rPr>
          <w:rFonts w:ascii="Times New Roman" w:cs="Times New Roman" w:eastAsia="Times New Roman" w:hAnsi="Times New Roman"/>
          <w:sz w:val="17"/>
          <w:szCs w:val="17"/>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which shall be reflected in the Restricted Stock Award Agreement.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u w:val="single" w:color="auto"/>
          <w:color w:val="auto"/>
        </w:rPr>
        <w:t>RESTRICTED STOCK UNITS</w:t>
      </w:r>
    </w:p>
    <w:p>
      <w:pPr>
        <w:spacing w:after="0" w:line="165" w:lineRule="exact"/>
        <w:rPr>
          <w:sz w:val="20"/>
          <w:szCs w:val="20"/>
          <w:color w:val="auto"/>
        </w:rPr>
      </w:pPr>
    </w:p>
    <w:p>
      <w:pPr>
        <w:jc w:val="both"/>
        <w:ind w:firstLine="514"/>
        <w:spacing w:after="0" w:line="244" w:lineRule="auto"/>
        <w:tabs>
          <w:tab w:leader="none" w:pos="1016" w:val="left"/>
        </w:tabs>
        <w:numPr>
          <w:ilvl w:val="0"/>
          <w:numId w:val="52"/>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Nature of Restricted Stock Units</w:t>
      </w:r>
      <w:r>
        <w:rPr>
          <w:rFonts w:ascii="Times New Roman" w:cs="Times New Roman" w:eastAsia="Times New Roman" w:hAnsi="Times New Roman"/>
          <w:sz w:val="17"/>
          <w:szCs w:val="17"/>
          <w:color w:val="auto"/>
        </w:rPr>
        <w:t>. The Administrator may grant Restricted Stock Units under the Plan. A Restricted Stock Unit is an Award of stock units that may be settled in shares of Stock (or cash, to the extent explicitly provided for in the Award Agreement)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or cash.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39" w:lineRule="exact"/>
        <w:rPr>
          <w:rFonts w:ascii="Times New Roman" w:cs="Times New Roman" w:eastAsia="Times New Roman" w:hAnsi="Times New Roman"/>
          <w:sz w:val="17"/>
          <w:szCs w:val="17"/>
          <w:u w:val="single" w:color="auto"/>
          <w:color w:val="auto"/>
        </w:rPr>
      </w:pPr>
    </w:p>
    <w:p>
      <w:pPr>
        <w:jc w:val="both"/>
        <w:ind w:firstLine="514"/>
        <w:spacing w:after="0" w:line="255" w:lineRule="auto"/>
        <w:tabs>
          <w:tab w:leader="none" w:pos="1015" w:val="left"/>
        </w:tabs>
        <w:numPr>
          <w:ilvl w:val="0"/>
          <w:numId w:val="52"/>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Rights as a Stockholder</w:t>
      </w:r>
      <w:r>
        <w:rPr>
          <w:rFonts w:ascii="Times New Roman" w:cs="Times New Roman" w:eastAsia="Times New Roman" w:hAnsi="Times New Roman"/>
          <w:sz w:val="17"/>
          <w:szCs w:val="17"/>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40" w:lineRule="exact"/>
        <w:rPr>
          <w:rFonts w:ascii="Times New Roman" w:cs="Times New Roman" w:eastAsia="Times New Roman" w:hAnsi="Times New Roman"/>
          <w:sz w:val="17"/>
          <w:szCs w:val="17"/>
          <w:u w:val="single" w:color="auto"/>
          <w:color w:val="auto"/>
        </w:rPr>
      </w:pPr>
    </w:p>
    <w:p>
      <w:pPr>
        <w:jc w:val="both"/>
        <w:ind w:firstLine="514"/>
        <w:spacing w:after="0" w:line="255" w:lineRule="auto"/>
        <w:tabs>
          <w:tab w:leader="none" w:pos="1016" w:val="left"/>
        </w:tabs>
        <w:numPr>
          <w:ilvl w:val="0"/>
          <w:numId w:val="52"/>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Except as may otherwise be provided by the Administrator either in the Award Agreement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80"/>
          </w:cols>
          <w:pgMar w:left="300" w:top="108" w:right="31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6"/>
          <w:szCs w:val="16"/>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SECTION 9. </w:t>
      </w:r>
      <w:r>
        <w:rPr>
          <w:rFonts w:ascii="Times New Roman" w:cs="Times New Roman" w:eastAsia="Times New Roman" w:hAnsi="Times New Roman"/>
          <w:sz w:val="17"/>
          <w:szCs w:val="17"/>
          <w:u w:val="single" w:color="auto"/>
          <w:color w:val="auto"/>
        </w:rPr>
        <w:t>UNRESTRICTED STOCK AWARDS</w:t>
      </w:r>
    </w:p>
    <w:p>
      <w:pPr>
        <w:spacing w:after="0" w:line="16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7"/>
          <w:szCs w:val="17"/>
          <w:color w:val="auto"/>
        </w:rPr>
        <w:t>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SECTION 10. </w:t>
      </w:r>
      <w:r>
        <w:rPr>
          <w:rFonts w:ascii="Times New Roman" w:cs="Times New Roman" w:eastAsia="Times New Roman" w:hAnsi="Times New Roman"/>
          <w:sz w:val="17"/>
          <w:szCs w:val="17"/>
          <w:u w:val="single" w:color="auto"/>
          <w:color w:val="auto"/>
        </w:rPr>
        <w:t>CASH-BASED AWARDS</w:t>
      </w:r>
    </w:p>
    <w:p>
      <w:pPr>
        <w:spacing w:after="0" w:line="176"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7"/>
          <w:szCs w:val="17"/>
          <w:color w:val="auto"/>
        </w:rPr>
        <w:t>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DIVIDEND EQUIVALENT RIGHTS</w:t>
      </w:r>
    </w:p>
    <w:p>
      <w:pPr>
        <w:spacing w:after="0" w:line="165" w:lineRule="exact"/>
        <w:rPr>
          <w:sz w:val="20"/>
          <w:szCs w:val="20"/>
          <w:color w:val="auto"/>
        </w:rPr>
      </w:pPr>
    </w:p>
    <w:p>
      <w:pPr>
        <w:jc w:val="both"/>
        <w:ind w:firstLine="514"/>
        <w:spacing w:after="0" w:line="242" w:lineRule="auto"/>
        <w:tabs>
          <w:tab w:leader="none" w:pos="1016" w:val="left"/>
        </w:tabs>
        <w:numPr>
          <w:ilvl w:val="0"/>
          <w:numId w:val="53"/>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Dividend Equivalent Rights</w:t>
      </w:r>
      <w:r>
        <w:rPr>
          <w:rFonts w:ascii="Times New Roman" w:cs="Times New Roman" w:eastAsia="Times New Roman" w:hAnsi="Times New Roman"/>
          <w:sz w:val="17"/>
          <w:szCs w:val="17"/>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Agreement.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 Dividend Equivalent Rights shall be structured to be exempt from, or subject to and compliant with, Section 409A.</w:t>
      </w:r>
    </w:p>
    <w:p>
      <w:pPr>
        <w:spacing w:after="0" w:line="144" w:lineRule="exact"/>
        <w:rPr>
          <w:rFonts w:ascii="Times New Roman" w:cs="Times New Roman" w:eastAsia="Times New Roman" w:hAnsi="Times New Roman"/>
          <w:sz w:val="17"/>
          <w:szCs w:val="17"/>
          <w:u w:val="single" w:color="auto"/>
          <w:color w:val="auto"/>
        </w:rPr>
      </w:pPr>
    </w:p>
    <w:p>
      <w:pPr>
        <w:jc w:val="both"/>
        <w:ind w:firstLine="514"/>
        <w:spacing w:after="0" w:line="255" w:lineRule="auto"/>
        <w:tabs>
          <w:tab w:leader="none" w:pos="1015" w:val="left"/>
        </w:tabs>
        <w:numPr>
          <w:ilvl w:val="0"/>
          <w:numId w:val="53"/>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Except as may otherwise be provided by the Administrator either in the Award Agreement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80"/>
          </w:cols>
          <w:pgMar w:left="300" w:top="108" w:right="31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6"/>
          <w:szCs w:val="16"/>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TRANSFERABILITY OF AWARDS</w:t>
      </w:r>
    </w:p>
    <w:p>
      <w:pPr>
        <w:spacing w:after="0" w:line="165" w:lineRule="exact"/>
        <w:rPr>
          <w:sz w:val="20"/>
          <w:szCs w:val="20"/>
          <w:color w:val="auto"/>
        </w:rPr>
      </w:pPr>
    </w:p>
    <w:p>
      <w:pPr>
        <w:jc w:val="both"/>
        <w:ind w:firstLine="514"/>
        <w:spacing w:after="0" w:line="248" w:lineRule="auto"/>
        <w:tabs>
          <w:tab w:leader="none" w:pos="1016" w:val="left"/>
        </w:tabs>
        <w:numPr>
          <w:ilvl w:val="0"/>
          <w:numId w:val="54"/>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other than a domestic relations order, and any purported transfer in violation hereof shall be null and void.</w:t>
      </w:r>
    </w:p>
    <w:p>
      <w:pPr>
        <w:spacing w:after="0" w:line="136" w:lineRule="exact"/>
        <w:rPr>
          <w:rFonts w:ascii="Times New Roman" w:cs="Times New Roman" w:eastAsia="Times New Roman" w:hAnsi="Times New Roman"/>
          <w:sz w:val="17"/>
          <w:szCs w:val="17"/>
          <w:u w:val="single" w:color="auto"/>
          <w:color w:val="auto"/>
        </w:rPr>
      </w:pPr>
    </w:p>
    <w:p>
      <w:pPr>
        <w:jc w:val="both"/>
        <w:ind w:firstLine="514"/>
        <w:spacing w:after="0" w:line="248" w:lineRule="auto"/>
        <w:tabs>
          <w:tab w:leader="none" w:pos="1015" w:val="left"/>
        </w:tabs>
        <w:numPr>
          <w:ilvl w:val="0"/>
          <w:numId w:val="54"/>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Administrator Action</w:t>
      </w:r>
      <w:r>
        <w:rPr>
          <w:rFonts w:ascii="Times New Roman" w:cs="Times New Roman" w:eastAsia="Times New Roman" w:hAnsi="Times New Roman"/>
          <w:sz w:val="17"/>
          <w:szCs w:val="17"/>
          <w:color w:val="auto"/>
        </w:rPr>
        <w:t>. Notwithstanding Section 12(a), the Administrator, in its discretion and subject to compliance with federal and state securities laws, may provide either in the Award Agreement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35" w:lineRule="exact"/>
        <w:rPr>
          <w:rFonts w:ascii="Times New Roman" w:cs="Times New Roman" w:eastAsia="Times New Roman" w:hAnsi="Times New Roman"/>
          <w:sz w:val="17"/>
          <w:szCs w:val="17"/>
          <w:u w:val="single" w:color="auto"/>
          <w:color w:val="auto"/>
        </w:rPr>
      </w:pPr>
    </w:p>
    <w:p>
      <w:pPr>
        <w:jc w:val="both"/>
        <w:ind w:firstLine="514"/>
        <w:spacing w:after="0" w:line="248" w:lineRule="auto"/>
        <w:tabs>
          <w:tab w:leader="none" w:pos="1016" w:val="left"/>
        </w:tabs>
        <w:numPr>
          <w:ilvl w:val="0"/>
          <w:numId w:val="54"/>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Family Member</w:t>
      </w:r>
      <w:r>
        <w:rPr>
          <w:rFonts w:ascii="Times New Roman" w:cs="Times New Roman" w:eastAsia="Times New Roman" w:hAnsi="Times New Roman"/>
          <w:sz w:val="17"/>
          <w:szCs w:val="17"/>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35" w:lineRule="exact"/>
        <w:rPr>
          <w:rFonts w:ascii="Times New Roman" w:cs="Times New Roman" w:eastAsia="Times New Roman" w:hAnsi="Times New Roman"/>
          <w:sz w:val="17"/>
          <w:szCs w:val="17"/>
          <w:u w:val="single" w:color="auto"/>
          <w:color w:val="auto"/>
        </w:rPr>
      </w:pPr>
    </w:p>
    <w:p>
      <w:pPr>
        <w:jc w:val="both"/>
        <w:ind w:firstLine="514"/>
        <w:spacing w:after="0" w:line="248" w:lineRule="auto"/>
        <w:tabs>
          <w:tab w:leader="none" w:pos="1015" w:val="left"/>
        </w:tabs>
        <w:numPr>
          <w:ilvl w:val="0"/>
          <w:numId w:val="54"/>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Designation of Beneficiary</w:t>
      </w:r>
      <w:r>
        <w:rPr>
          <w:rFonts w:ascii="Times New Roman" w:cs="Times New Roman" w:eastAsia="Times New Roman" w:hAnsi="Times New Roman"/>
          <w:sz w:val="17"/>
          <w:szCs w:val="17"/>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SECTION 13. </w:t>
      </w:r>
      <w:r>
        <w:rPr>
          <w:rFonts w:ascii="Times New Roman" w:cs="Times New Roman" w:eastAsia="Times New Roman" w:hAnsi="Times New Roman"/>
          <w:sz w:val="17"/>
          <w:szCs w:val="17"/>
          <w:u w:val="single" w:color="auto"/>
          <w:color w:val="auto"/>
        </w:rPr>
        <w:t>TAX WITHHOLDING</w:t>
      </w:r>
    </w:p>
    <w:p>
      <w:pPr>
        <w:spacing w:after="0" w:line="165" w:lineRule="exact"/>
        <w:rPr>
          <w:sz w:val="20"/>
          <w:szCs w:val="20"/>
          <w:color w:val="auto"/>
        </w:rPr>
      </w:pPr>
    </w:p>
    <w:p>
      <w:pPr>
        <w:jc w:val="both"/>
        <w:ind w:firstLine="514"/>
        <w:spacing w:after="0" w:line="248" w:lineRule="auto"/>
        <w:tabs>
          <w:tab w:leader="none" w:pos="963"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Withholding Generally</w:t>
      </w:r>
      <w:r>
        <w:rPr>
          <w:rFonts w:ascii="Times New Roman" w:cs="Times New Roman" w:eastAsia="Times New Roman" w:hAnsi="Times New Roman"/>
          <w:sz w:val="17"/>
          <w:szCs w:val="17"/>
          <w:color w:val="auto"/>
        </w:rPr>
        <w:t>. Each grantee must pay the Company, or make provisions satisfactory to the Administrator for payment of, any taxes required by applicable law to be withheld in connection with such grantee’s Awards by the date of the event creating the tax liability (such as, without limitation, in connection with the exercise, lapse of restriction, settlement, or payment of the Award). The Company may deduct an amount sufficient to satisfy such tax obligations based on the applicable statutory withholding rates (or such other rates as may be determined by the Company after considering any accounting consequences or costs) from any payment of any kind otherwise due to a grantee. In the absence of a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280"/>
          </w:cols>
          <w:pgMar w:left="300" w:top="108" w:right="319" w:bottom="1440" w:gutter="0" w:footer="0" w:header="0"/>
        </w:sectPr>
      </w:pPr>
    </w:p>
    <w:bookmarkStart w:id="180" w:name="page181"/>
    <w:bookmarkEnd w:id="180"/>
    <w:p>
      <w:pPr>
        <w:ind w:left="10400"/>
        <w:spacing w:after="0"/>
        <w:rPr>
          <w:sz w:val="20"/>
          <w:szCs w:val="20"/>
          <w:color w:val="auto"/>
        </w:rPr>
      </w:pPr>
      <w:r>
        <w:rPr>
          <w:rFonts w:ascii="Times New Roman" w:cs="Times New Roman" w:eastAsia="Times New Roman" w:hAnsi="Times New Roman"/>
          <w:sz w:val="14"/>
          <w:szCs w:val="14"/>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determination by the Company (or, with respect to withholding pursuant to subsection (b), clause (b) below with respect to Awards held by individuals subject to Section 16 of the Exchange Act, a contrary determination by the Administrator), all tax withholding obligations will be calculated based on the minimum applicable statutory withholding rates, but in no event will withholding obligations be calculated based on rates in excess of the maximum applicable statutory withholding rates.</w:t>
      </w:r>
    </w:p>
    <w:p>
      <w:pPr>
        <w:spacing w:after="0" w:line="136" w:lineRule="exact"/>
        <w:rPr>
          <w:sz w:val="20"/>
          <w:szCs w:val="20"/>
          <w:color w:val="auto"/>
        </w:rPr>
      </w:pPr>
    </w:p>
    <w:p>
      <w:pPr>
        <w:ind w:left="880" w:hanging="366"/>
        <w:spacing w:after="0"/>
        <w:tabs>
          <w:tab w:leader="none" w:pos="8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Means of Withholding</w:t>
      </w:r>
      <w:r>
        <w:rPr>
          <w:rFonts w:ascii="Times New Roman" w:cs="Times New Roman" w:eastAsia="Times New Roman" w:hAnsi="Times New Roman"/>
          <w:sz w:val="17"/>
          <w:szCs w:val="17"/>
          <w:color w:val="auto"/>
        </w:rPr>
        <w:t>. Subject to applicable law, any underwriter lock-up periods</w:t>
      </w:r>
    </w:p>
    <w:p>
      <w:pPr>
        <w:spacing w:after="0" w:line="2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or any Company insider trading policy (including blackout periods), grantees may satisfy such tax obligations (a) in cash, by wire transfer of immediately available funds, by check made payable to the order of the Company, provided that the Company may limit the use of the foregoing payment forms if one or more of the payment forms below is permitted, (b) to the extent permitted by the Administrator, in whole or in part by delivery of Shares, including Shares delivered by attestation and Shares retained from the Award creating the tax obligation, valued at their Fair Market Value on the date of delivery, (c) if there is a public market for Shares at the time the tax obligations are satisfied, unless the Company otherwise determines, (i) delivery (including electronically or telephonically to the extent permitted by the Company) of an irrevocable and unconditional undertaking by a broker acceptable to the Company to deliver promptly to the Company sufficient funds to satisfy the tax obligations, or (ii) delivery by the grantee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(d) to the extent permitted by the Company, any combination of the foregoing payment forms approved by the Administrator. Notwithstanding any other provision of the Plan, the number of Shares which may be so delivered or retained pursuant to clause (b) of the immediately preceding sentence shall be limited to the number of Shares which have an aggregate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If any tax withholding obligation will be satisfied under clause (b) 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grantee’s behalf some or all of the Shares retained and to remit the proceeds of the sale to the Company or its designee, and each grantee’s acceptance of an Award under the Plan will constitute the grantee’s authorization to the Company and instruction and authorization to such brokerage firm to complete the transactions described in this sentence.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SECTION 14. </w:t>
      </w:r>
      <w:r>
        <w:rPr>
          <w:rFonts w:ascii="Times New Roman" w:cs="Times New Roman" w:eastAsia="Times New Roman" w:hAnsi="Times New Roman"/>
          <w:sz w:val="17"/>
          <w:szCs w:val="17"/>
          <w:u w:val="single" w:color="auto"/>
          <w:color w:val="auto"/>
        </w:rPr>
        <w:t>SECTION 409A AWARDS; SECTION 280G CUTBACK</w:t>
      </w:r>
    </w:p>
    <w:p>
      <w:pPr>
        <w:spacing w:after="0" w:line="16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7"/>
          <w:szCs w:val="17"/>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280"/>
          </w:cols>
          <w:pgMar w:left="300" w:top="108" w:right="31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6"/>
          <w:szCs w:val="16"/>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If payment under a 409A Award is triggered by a Change in Control, payment shall be made upon such event only if the Change in Control meets the requirements of Section 409A(a)(2)(A)(v). If a series of payments are subject to 409A, each payment shall be treated as a separate payment for purposes of 409A. The Company makes no representation that any or all of the payments or benefits described in the Plan will be exempt from or comply with Section 409A of the Code and makes no undertaking to preclude Section 409A of the Code from applying to any such payment. The grantee shall be solely responsible for the payment of any taxes and penalties incurred under Section 409A.</w:t>
      </w:r>
    </w:p>
    <w:p>
      <w:pPr>
        <w:spacing w:after="0" w:line="13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Notwithstanding any provision of this Plan to the contrary, if any payment or benefit that a grantee would otherwise receive from the Company pursuant to an Award under the Plan or otherwise (a “Payment”) would (a) constitute a “parachute payment” within the meaning of Section 280G of the Code and (b) but for this paragraph, be subject to the excise tax imposed by Section 4999 of the Code (the “Excise Tax”), then such Payment will be equal to the Reduced Amount (as defined below). The “Reduced Amount” will be either (1) the largest portion of the Payment that would result in no portion of the Payment (after reduction) being subject to the Excise Tax or (2) the entire Payment,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grantee’s receipt, on an after-tax basis, of the greatest amount of the Payment. If a reduction in the Payment is to be made, the reduction in payments and/or benefits will occur in the following order: (1) reduction of cash payments; and (2) reduction of other benefits paid to grantee. In the event that acceleration of vesting of equity award compensation is to be reduced, such acceleration of vesting will be cancelled in the reverse order of the date of grant of grantee’s equity awards. In no event will the Company be liable to grantee for any amounts not paid as a result of the operation of this paragraph (other than for the Company’s obligations to pay the Reduced Amount or the entire Payment, as applicable). The Company makes no representation that any or all of the payments or benefits described in the Plan will be exempt from the Excise Tax, and the grantee shall be responsible for payment of the Excise Tax (if applicable).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SECTION 15. </w:t>
      </w:r>
      <w:r>
        <w:rPr>
          <w:rFonts w:ascii="Times New Roman" w:cs="Times New Roman" w:eastAsia="Times New Roman" w:hAnsi="Times New Roman"/>
          <w:sz w:val="17"/>
          <w:szCs w:val="17"/>
          <w:u w:val="single" w:color="auto"/>
          <w:color w:val="auto"/>
        </w:rPr>
        <w:t>TERMINATION OF SERVICE RELATIONSHIP, TRANSFER, LEAVE OF</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ABSENCE, ETC.</w:t>
      </w:r>
    </w:p>
    <w:p>
      <w:pPr>
        <w:spacing w:after="0" w:line="148" w:lineRule="exact"/>
        <w:rPr>
          <w:sz w:val="20"/>
          <w:szCs w:val="20"/>
          <w:color w:val="auto"/>
        </w:rPr>
      </w:pPr>
    </w:p>
    <w:p>
      <w:pPr>
        <w:ind w:firstLine="514"/>
        <w:spacing w:after="0" w:line="263" w:lineRule="auto"/>
        <w:tabs>
          <w:tab w:leader="none" w:pos="1016" w:val="left"/>
        </w:tabs>
        <w:numPr>
          <w:ilvl w:val="0"/>
          <w:numId w:val="57"/>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Termination of Service Relationship</w:t>
      </w:r>
      <w:r>
        <w:rPr>
          <w:rFonts w:ascii="Times New Roman" w:cs="Times New Roman" w:eastAsia="Times New Roman" w:hAnsi="Times New Roman"/>
          <w:sz w:val="17"/>
          <w:szCs w:val="17"/>
          <w:color w:val="auto"/>
        </w:rPr>
        <w:t>. If the grantee’s Service Relationship is with an Affiliate and such Affiliate ceases to be an Affiliate, the grantee shall be deemed to have terminated his or her Service Relationship for purposes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280"/>
          </w:cols>
          <w:pgMar w:left="300" w:top="108" w:right="31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6"/>
          <w:szCs w:val="16"/>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20" w:hanging="506"/>
        <w:spacing w:after="0"/>
        <w:tabs>
          <w:tab w:leader="none" w:pos="1020" w:val="left"/>
        </w:tabs>
        <w:numPr>
          <w:ilvl w:val="0"/>
          <w:numId w:val="58"/>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For purposes of the Plan, the following events shall not be deemed a termination of a Service Relationship:</w:t>
      </w:r>
    </w:p>
    <w:p>
      <w:pPr>
        <w:spacing w:after="0" w:line="165" w:lineRule="exact"/>
        <w:rPr>
          <w:rFonts w:ascii="Times New Roman" w:cs="Times New Roman" w:eastAsia="Times New Roman" w:hAnsi="Times New Roman"/>
          <w:sz w:val="17"/>
          <w:szCs w:val="17"/>
          <w:u w:val="single" w:color="auto"/>
          <w:color w:val="auto"/>
        </w:rPr>
      </w:pPr>
    </w:p>
    <w:p>
      <w:pPr>
        <w:ind w:left="1360" w:hanging="337"/>
        <w:spacing w:after="0"/>
        <w:tabs>
          <w:tab w:leader="none" w:pos="136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transfer to the employment of the Company from an Affiliate or from the Company to an Affiliate, or from one Affiliate to another; or</w:t>
      </w:r>
    </w:p>
    <w:p>
      <w:pPr>
        <w:spacing w:after="0" w:line="23" w:lineRule="exact"/>
        <w:rPr>
          <w:rFonts w:ascii="Times New Roman" w:cs="Times New Roman" w:eastAsia="Times New Roman" w:hAnsi="Times New Roman"/>
          <w:sz w:val="17"/>
          <w:szCs w:val="17"/>
          <w:color w:val="auto"/>
        </w:rPr>
      </w:pPr>
    </w:p>
    <w:p>
      <w:pPr>
        <w:jc w:val="both"/>
        <w:ind w:firstLine="1023"/>
        <w:spacing w:after="0" w:line="244" w:lineRule="auto"/>
        <w:tabs>
          <w:tab w:leader="none" w:pos="142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SECTION 16. </w:t>
      </w:r>
      <w:r>
        <w:rPr>
          <w:rFonts w:ascii="Times New Roman" w:cs="Times New Roman" w:eastAsia="Times New Roman" w:hAnsi="Times New Roman"/>
          <w:sz w:val="17"/>
          <w:szCs w:val="17"/>
          <w:u w:val="single" w:color="auto"/>
          <w:color w:val="auto"/>
        </w:rPr>
        <w:t>AMENDMENTS AND TERMINATION</w:t>
      </w:r>
    </w:p>
    <w:p>
      <w:pPr>
        <w:spacing w:after="0" w:line="176"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The Board may, at any time, amend or discontinue the Plan and the Administrator may, at any time, amend or cancel any outstanding Award, but no such action shall materially and adversely affect rights under any outstanding Award without the holder’s consent. Except as provided in Section 3(c) or 3(d),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Stock is listed, or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3(c) or 3(d). Notwithstanding the foregoing, the Board may amend or discontinue the Plan or amend or cancel any outstanding Award to the extent necessary to conform the provisions of the Plan or an Award Agreement with any applicable law. Notwithstanding the foregoing, if the Stock ceases to be listed on an established market, the Company may, without an Award holder’s consent, amend any outstanding Awards to impose such terms, conditions or restrictions as are determined by the Board to be appropriate for a non-listed entity.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SECTION 17. </w:t>
      </w:r>
      <w:r>
        <w:rPr>
          <w:rFonts w:ascii="Times New Roman" w:cs="Times New Roman" w:eastAsia="Times New Roman" w:hAnsi="Times New Roman"/>
          <w:sz w:val="17"/>
          <w:szCs w:val="17"/>
          <w:u w:val="single" w:color="auto"/>
          <w:color w:val="auto"/>
        </w:rPr>
        <w:t>STATUS OF PLAN</w:t>
      </w:r>
    </w:p>
    <w:p>
      <w:pPr>
        <w:spacing w:after="0" w:line="165"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7"/>
          <w:szCs w:val="17"/>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SECTION 18. </w:t>
      </w:r>
      <w:r>
        <w:rPr>
          <w:rFonts w:ascii="Times New Roman" w:cs="Times New Roman" w:eastAsia="Times New Roman" w:hAnsi="Times New Roman"/>
          <w:sz w:val="17"/>
          <w:szCs w:val="17"/>
          <w:u w:val="single" w:color="auto"/>
          <w:color w:val="auto"/>
        </w:rPr>
        <w:t>GENERAL PROVISIONS</w:t>
      </w:r>
    </w:p>
    <w:p>
      <w:pPr>
        <w:spacing w:after="0" w:line="165" w:lineRule="exact"/>
        <w:rPr>
          <w:sz w:val="20"/>
          <w:szCs w:val="20"/>
          <w:color w:val="auto"/>
        </w:rPr>
      </w:pPr>
    </w:p>
    <w:p>
      <w:pPr>
        <w:ind w:firstLine="514"/>
        <w:spacing w:after="0" w:line="251" w:lineRule="auto"/>
        <w:tabs>
          <w:tab w:leader="none" w:pos="1016" w:val="left"/>
        </w:tabs>
        <w:numPr>
          <w:ilvl w:val="0"/>
          <w:numId w:val="59"/>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No Distribution</w:t>
      </w:r>
      <w:r>
        <w:rPr>
          <w:rFonts w:ascii="Times New Roman" w:cs="Times New Roman" w:eastAsia="Times New Roman" w:hAnsi="Times New Roman"/>
          <w:sz w:val="17"/>
          <w:szCs w:val="17"/>
          <w:color w:val="auto"/>
        </w:rPr>
        <w:t>. The Administrator may require each person acquiring Stock pursuant to an Award to represent to and agree with the Company in writing that such person is acquiring the shares without a view to distribution thereof.</w:t>
      </w:r>
    </w:p>
    <w:p>
      <w:pPr>
        <w:spacing w:after="0" w:line="1" w:lineRule="exact"/>
        <w:rPr>
          <w:rFonts w:ascii="Times New Roman" w:cs="Times New Roman" w:eastAsia="Times New Roman" w:hAnsi="Times New Roman"/>
          <w:sz w:val="17"/>
          <w:szCs w:val="17"/>
          <w:u w:val="single" w:color="auto"/>
          <w:color w:val="auto"/>
        </w:rPr>
      </w:pPr>
    </w:p>
    <w:p>
      <w:pPr>
        <w:ind w:firstLine="514"/>
        <w:spacing w:after="0" w:line="254" w:lineRule="auto"/>
        <w:tabs>
          <w:tab w:leader="none" w:pos="1015" w:val="left"/>
        </w:tabs>
        <w:numPr>
          <w:ilvl w:val="0"/>
          <w:numId w:val="59"/>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Issuance of Stock</w:t>
      </w:r>
      <w:r>
        <w:rPr>
          <w:rFonts w:ascii="Times New Roman" w:cs="Times New Roman" w:eastAsia="Times New Roman" w:hAnsi="Times New Roman"/>
          <w:sz w:val="17"/>
          <w:szCs w:val="17"/>
          <w:color w:val="auto"/>
        </w:rPr>
        <w:t>. Unless otherwise provided by the Administrator, grantees under this Plan shall not be entitled to stock certificates. Uncertificated Stock shall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280"/>
          </w:cols>
          <w:pgMar w:left="300" w:top="108" w:right="31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6"/>
          <w:szCs w:val="16"/>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To the extent the Administrator determines that any stock granted under this Plan shall be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In addition, no Award may be exercised or Stock issued pursuant to an Award unless (a) a registration statement under the Act shall at the time of such exercise or issuance be in effect with respect to the Stock issuable pursuant to the Award, or (b) in the opinion of legal counsel to the Company, the Stock issuable pursuant to the Award may be issued in accordance with the terms of an applicable exemption from the registration requirements of the Act.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52" w:lineRule="exact"/>
        <w:rPr>
          <w:sz w:val="20"/>
          <w:szCs w:val="20"/>
          <w:color w:val="auto"/>
        </w:rPr>
      </w:pPr>
    </w:p>
    <w:p>
      <w:pPr>
        <w:jc w:val="both"/>
        <w:ind w:left="60" w:firstLine="454"/>
        <w:spacing w:after="0" w:line="255" w:lineRule="auto"/>
        <w:tabs>
          <w:tab w:leader="none" w:pos="1025" w:val="left"/>
        </w:tabs>
        <w:numPr>
          <w:ilvl w:val="0"/>
          <w:numId w:val="60"/>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Stockholder Rights</w:t>
      </w:r>
      <w:r>
        <w:rPr>
          <w:rFonts w:ascii="Times New Roman" w:cs="Times New Roman" w:eastAsia="Times New Roman" w:hAnsi="Times New Roman"/>
          <w:sz w:val="17"/>
          <w:szCs w:val="17"/>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40" w:lineRule="exact"/>
        <w:rPr>
          <w:rFonts w:ascii="Times New Roman" w:cs="Times New Roman" w:eastAsia="Times New Roman" w:hAnsi="Times New Roman"/>
          <w:sz w:val="17"/>
          <w:szCs w:val="17"/>
          <w:u w:val="single" w:color="auto"/>
          <w:color w:val="auto"/>
        </w:rPr>
      </w:pPr>
    </w:p>
    <w:p>
      <w:pPr>
        <w:jc w:val="both"/>
        <w:ind w:left="60" w:firstLine="454"/>
        <w:spacing w:after="0" w:line="246" w:lineRule="auto"/>
        <w:tabs>
          <w:tab w:leader="none" w:pos="1024" w:val="left"/>
        </w:tabs>
        <w:numPr>
          <w:ilvl w:val="0"/>
          <w:numId w:val="60"/>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Administrative Stand Still</w:t>
      </w:r>
      <w:r>
        <w:rPr>
          <w:rFonts w:ascii="Times New Roman" w:cs="Times New Roman" w:eastAsia="Times New Roman" w:hAnsi="Times New Roman"/>
          <w:sz w:val="17"/>
          <w:szCs w:val="17"/>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including any securities offering or other similar transaction, for administrative convenience, the Administrator may refuse to permit the exercise of any Award for up to 60 days before or after such transaction.</w:t>
      </w:r>
    </w:p>
    <w:p>
      <w:pPr>
        <w:spacing w:after="0" w:line="1" w:lineRule="exact"/>
        <w:rPr>
          <w:rFonts w:ascii="Times New Roman" w:cs="Times New Roman" w:eastAsia="Times New Roman" w:hAnsi="Times New Roman"/>
          <w:sz w:val="17"/>
          <w:szCs w:val="17"/>
          <w:u w:val="single" w:color="auto"/>
          <w:color w:val="auto"/>
        </w:rPr>
      </w:pPr>
    </w:p>
    <w:p>
      <w:pPr>
        <w:jc w:val="both"/>
        <w:ind w:left="60" w:firstLine="454"/>
        <w:spacing w:after="0" w:line="244" w:lineRule="auto"/>
        <w:tabs>
          <w:tab w:leader="none" w:pos="1025" w:val="left"/>
        </w:tabs>
        <w:numPr>
          <w:ilvl w:val="0"/>
          <w:numId w:val="60"/>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Expiration During Non-Trading Periods</w:t>
      </w:r>
      <w:r>
        <w:rPr>
          <w:rFonts w:ascii="Times New Roman" w:cs="Times New Roman" w:eastAsia="Times New Roman" w:hAnsi="Times New Roman"/>
          <w:sz w:val="17"/>
          <w:szCs w:val="17"/>
          <w:color w:val="auto"/>
        </w:rPr>
        <w:t>. Notwithstanding any contrary provision of Sections 5 or 6, unless determined otherwise by the Company, in the event that, on the last business day of the term of a Stock Option or Stock Appreciation Right (other than an Incentive Stock Option), (a) the exercise of the Stock Option or Stock Appreciation Right is prohibited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280"/>
          </w:cols>
          <w:pgMar w:left="300" w:top="108" w:right="31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6"/>
          <w:szCs w:val="16"/>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60"/>
        <w:spacing w:after="0" w:line="248" w:lineRule="auto"/>
        <w:rPr>
          <w:sz w:val="20"/>
          <w:szCs w:val="20"/>
          <w:color w:val="auto"/>
        </w:rPr>
      </w:pPr>
      <w:r>
        <w:rPr>
          <w:rFonts w:ascii="Times New Roman" w:cs="Times New Roman" w:eastAsia="Times New Roman" w:hAnsi="Times New Roman"/>
          <w:sz w:val="17"/>
          <w:szCs w:val="17"/>
          <w:color w:val="auto"/>
        </w:rPr>
        <w:t>law, as determined by the Company, or (b) Shares may not be purchased or sold by the applicable grantee due to any Company insider trading policy (including blackout periods) or a “lock-up” agreement undertaken in connection with an issuance of securities by the Company, the term of the Stock Option or Stock Appreciation Right shall be extended until the date that is 30 days after the end of the legal prohibition, black-out period or lock-up agreement, as determined by the Company; provided, however, in no event shall the extension last beyond the ten year term of the applicable Option or Stock Appreciation Right.</w:t>
      </w:r>
    </w:p>
    <w:p>
      <w:pPr>
        <w:spacing w:after="0" w:line="136" w:lineRule="exact"/>
        <w:rPr>
          <w:sz w:val="20"/>
          <w:szCs w:val="20"/>
          <w:color w:val="auto"/>
        </w:rPr>
      </w:pPr>
    </w:p>
    <w:p>
      <w:pPr>
        <w:jc w:val="both"/>
        <w:ind w:firstLine="514"/>
        <w:spacing w:after="0" w:line="255" w:lineRule="auto"/>
        <w:tabs>
          <w:tab w:leader="none" w:pos="1018" w:val="left"/>
        </w:tabs>
        <w:numPr>
          <w:ilvl w:val="0"/>
          <w:numId w:val="61"/>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Other Compensation Arrangements; No Employment Rights</w:t>
      </w:r>
      <w:r>
        <w:rPr>
          <w:rFonts w:ascii="Times New Roman" w:cs="Times New Roman" w:eastAsia="Times New Roman" w:hAnsi="Times New Roman"/>
          <w:sz w:val="17"/>
          <w:szCs w:val="17"/>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30" w:lineRule="exact"/>
        <w:rPr>
          <w:rFonts w:ascii="Times New Roman" w:cs="Times New Roman" w:eastAsia="Times New Roman" w:hAnsi="Times New Roman"/>
          <w:sz w:val="17"/>
          <w:szCs w:val="17"/>
          <w:u w:val="single" w:color="auto"/>
          <w:color w:val="auto"/>
        </w:rPr>
      </w:pPr>
    </w:p>
    <w:p>
      <w:pPr>
        <w:ind w:firstLine="514"/>
        <w:spacing w:after="0" w:line="276" w:lineRule="auto"/>
        <w:tabs>
          <w:tab w:leader="none" w:pos="1015" w:val="left"/>
        </w:tabs>
        <w:numPr>
          <w:ilvl w:val="0"/>
          <w:numId w:val="61"/>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Trading Policy Restrictions</w:t>
      </w:r>
      <w:r>
        <w:rPr>
          <w:rFonts w:ascii="Times New Roman" w:cs="Times New Roman" w:eastAsia="Times New Roman" w:hAnsi="Times New Roman"/>
          <w:sz w:val="17"/>
          <w:szCs w:val="17"/>
          <w:color w:val="auto"/>
        </w:rPr>
        <w:t>. Option exercises and other Awards under the Plan shall be subject to the Company’s insider trading policies and procedures, as in effect from time to time.</w:t>
      </w:r>
    </w:p>
    <w:p>
      <w:pPr>
        <w:spacing w:after="0" w:line="112" w:lineRule="exact"/>
        <w:rPr>
          <w:rFonts w:ascii="Times New Roman" w:cs="Times New Roman" w:eastAsia="Times New Roman" w:hAnsi="Times New Roman"/>
          <w:sz w:val="17"/>
          <w:szCs w:val="17"/>
          <w:u w:val="single" w:color="auto"/>
          <w:color w:val="auto"/>
        </w:rPr>
      </w:pPr>
    </w:p>
    <w:p>
      <w:pPr>
        <w:jc w:val="both"/>
        <w:ind w:firstLine="514"/>
        <w:spacing w:after="0" w:line="248" w:lineRule="auto"/>
        <w:tabs>
          <w:tab w:leader="none" w:pos="1015" w:val="left"/>
        </w:tabs>
        <w:numPr>
          <w:ilvl w:val="0"/>
          <w:numId w:val="61"/>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Clawback/Repayment</w:t>
      </w:r>
      <w:r>
        <w:rPr>
          <w:rFonts w:ascii="Times New Roman" w:cs="Times New Roman" w:eastAsia="Times New Roman" w:hAnsi="Times New Roman"/>
          <w:sz w:val="17"/>
          <w:szCs w:val="17"/>
          <w:color w:val="auto"/>
        </w:rPr>
        <w:t>. All Awards shall be subject to reduction, cancellation, forfeiture or recoupment to the extent necessary to comply with (i) any clawback, forfeiture or other similar policy adopted by the Board or Committee and as in effect from time to time; and (ii) applicable law. Further, to the extent that the grantee receives any amount in excess of the amount that the grantee should otherwise have received under the terms of the Award for any reason (including, without limitation, by reason of a financial restatement, mistake in calculations or other administrative error), the grantee may be required to repay any such excess amount to the Company at the discretion of the Board or Committee.</w:t>
      </w:r>
    </w:p>
    <w:p>
      <w:pPr>
        <w:spacing w:after="0" w:line="135" w:lineRule="exact"/>
        <w:rPr>
          <w:rFonts w:ascii="Times New Roman" w:cs="Times New Roman" w:eastAsia="Times New Roman" w:hAnsi="Times New Roman"/>
          <w:sz w:val="17"/>
          <w:szCs w:val="17"/>
          <w:u w:val="single" w:color="auto"/>
          <w:color w:val="auto"/>
        </w:rPr>
      </w:pPr>
    </w:p>
    <w:p>
      <w:pPr>
        <w:jc w:val="both"/>
        <w:ind w:firstLine="514"/>
        <w:spacing w:after="0" w:line="255" w:lineRule="auto"/>
        <w:tabs>
          <w:tab w:leader="none" w:pos="1009" w:val="left"/>
        </w:tabs>
        <w:numPr>
          <w:ilvl w:val="0"/>
          <w:numId w:val="61"/>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Fractional Shares</w:t>
      </w:r>
      <w:r>
        <w:rPr>
          <w:rFonts w:ascii="Times New Roman" w:cs="Times New Roman" w:eastAsia="Times New Roman" w:hAnsi="Times New Roman"/>
          <w:sz w:val="17"/>
          <w:szCs w:val="17"/>
          <w:color w:val="auto"/>
        </w:rPr>
        <w:t>. No fractional Shares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canceled, terminated or otherwise eliminated.</w:t>
      </w:r>
    </w:p>
    <w:p>
      <w:pPr>
        <w:spacing w:after="0" w:line="140" w:lineRule="exact"/>
        <w:rPr>
          <w:rFonts w:ascii="Times New Roman" w:cs="Times New Roman" w:eastAsia="Times New Roman" w:hAnsi="Times New Roman"/>
          <w:sz w:val="17"/>
          <w:szCs w:val="17"/>
          <w:u w:val="single" w:color="auto"/>
          <w:color w:val="auto"/>
        </w:rPr>
      </w:pPr>
    </w:p>
    <w:p>
      <w:pPr>
        <w:jc w:val="both"/>
        <w:ind w:firstLine="514"/>
        <w:spacing w:after="0" w:line="248" w:lineRule="auto"/>
        <w:tabs>
          <w:tab w:leader="none" w:pos="1009" w:val="left"/>
        </w:tabs>
        <w:numPr>
          <w:ilvl w:val="0"/>
          <w:numId w:val="61"/>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Company may assign any of its rights under the Plan or any Award issued thereunder without the grantee’s consent. The Plan and any Awards issued thereunder will be binding upon and inure to the benefit of the successors and assigns of the Company. Subject to the restrictions on transfer set forth herein and in any Award Agreement, this Plan and any Award Agreement issued thereunder will be binding upon the grantee and the grantee’s beneficiaries, executors, administrators and permitted transferees.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SECTION 19. </w:t>
      </w:r>
      <w:r>
        <w:rPr>
          <w:rFonts w:ascii="Times New Roman" w:cs="Times New Roman" w:eastAsia="Times New Roman" w:hAnsi="Times New Roman"/>
          <w:sz w:val="17"/>
          <w:szCs w:val="17"/>
          <w:u w:val="single" w:color="auto"/>
          <w:color w:val="auto"/>
        </w:rPr>
        <w:t>EFFECTIVE DATE OF PLAN</w:t>
      </w:r>
    </w:p>
    <w:p>
      <w:pPr>
        <w:spacing w:after="0" w:line="16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7"/>
          <w:szCs w:val="17"/>
          <w:color w:val="auto"/>
        </w:rPr>
        <w:t>This Plan, as amended and restated herein, shall become effective as of the Effective Date. No grants of Non-Qualified Stock Options and other Awards may be made hereunder after the tenth anniversary of the Effective Date and no grants of Incentive Stock Options may be made hereunder after December 8, 2031 (which is the tenth anniversary of the date the Prior Plan was approved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280"/>
          </w:cols>
          <w:pgMar w:left="300" w:top="108" w:right="31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6"/>
          <w:szCs w:val="16"/>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SECTION 20. </w:t>
      </w:r>
      <w:r>
        <w:rPr>
          <w:rFonts w:ascii="Times New Roman" w:cs="Times New Roman" w:eastAsia="Times New Roman" w:hAnsi="Times New Roman"/>
          <w:sz w:val="17"/>
          <w:szCs w:val="17"/>
          <w:u w:val="single" w:color="auto"/>
          <w:color w:val="auto"/>
        </w:rPr>
        <w:t>GOVERNING LAW</w:t>
      </w:r>
    </w:p>
    <w:p>
      <w:pPr>
        <w:spacing w:after="0" w:line="16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7"/>
          <w:szCs w:val="17"/>
          <w:color w:val="auto"/>
        </w:rPr>
        <w:t>This Plan and all Awards and actions taken thereunder shall be governed by, and construed in accordance with, the General Corporation Law of the State of Delaware, applied without regard to conflict of law principles. With respect to any claim or dispute related to or arising under the Plan or any Award thereunder, the grantee, by acceptance of an Award, consents to the exclusive jurisdiction, forum and venue of the federal courts located in the State of Delaware, and waives, to the fullest extent permitted by law, any defenses to venue and jurisdiction in the State of Delaware.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Adopted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280"/>
          </w:cols>
          <w:pgMar w:left="300" w:top="108" w:right="31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6"/>
          <w:szCs w:val="16"/>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PUBLIC POLICY HOLDING COMPANY, INC. 2021 OMNIBUS INCENTIVE PLAN UK</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SUB-PLAN</w:t>
      </w:r>
    </w:p>
    <w:p>
      <w:pPr>
        <w:spacing w:after="0" w:line="328"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color w:val="auto"/>
        </w:rPr>
        <w:t>In accordance with Section 2(f) of the Public Policy Holding Company, Inc. 2021 Omnibus Incentive Plan (the “</w:t>
      </w:r>
      <w:r>
        <w:rPr>
          <w:rFonts w:ascii="Times New Roman" w:cs="Times New Roman" w:eastAsia="Times New Roman" w:hAnsi="Times New Roman"/>
          <w:sz w:val="17"/>
          <w:szCs w:val="17"/>
          <w:u w:val="single" w:color="auto"/>
          <w:color w:val="auto"/>
        </w:rPr>
        <w:t>LTIP</w:t>
      </w:r>
      <w:r>
        <w:rPr>
          <w:rFonts w:ascii="Times New Roman" w:cs="Times New Roman" w:eastAsia="Times New Roman" w:hAnsi="Times New Roman"/>
          <w:sz w:val="17"/>
          <w:szCs w:val="17"/>
          <w:color w:val="auto"/>
        </w:rPr>
        <w:t>”), the U.K. Sub-Plan set forth below shall be a subplan of the LTIP, and shall be attached to, and hereby is incorporated into, the LTIP.</w:t>
      </w:r>
    </w:p>
    <w:p>
      <w:pPr>
        <w:spacing w:after="0" w:line="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Neither this document, nor any stock option agreement connected with it, is an approved prospectus for the purposes of section 85(1) of the Financial Services and Markets Act 2000 (“FSMA”) and no offer of transferable securities to the public (for the purposes of section 102B of FSMA) is being made in connection with this UK Sub-Plan, which is exclusively available to bona fide UK employees of Public Policy Holding Company, Inc. and its Subsidiaries.</w:t>
      </w:r>
    </w:p>
    <w:p>
      <w:pPr>
        <w:spacing w:after="0" w:line="27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Approved by the Administrator on 17 September, 2024</w:t>
      </w:r>
    </w:p>
    <w:p>
      <w:pPr>
        <w:spacing w:after="0" w:line="17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DEFINITIONS AND INTERPRETATION</w:t>
      </w:r>
    </w:p>
    <w:p>
      <w:pPr>
        <w:spacing w:after="0" w:line="240"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7"/>
          <w:szCs w:val="17"/>
          <w:color w:val="auto"/>
        </w:rPr>
        <w:t>In this UK Sub-Plan, unless the context requires otherwise the defined terms set out in the Plan shall have the meanings ascribed in the Plan with the addition of the definitions set out below:</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“Award” </w:t>
      </w:r>
      <w:r>
        <w:rPr>
          <w:rFonts w:ascii="Times New Roman" w:cs="Times New Roman" w:eastAsia="Times New Roman" w:hAnsi="Times New Roman"/>
          <w:sz w:val="17"/>
          <w:szCs w:val="17"/>
          <w:color w:val="auto"/>
        </w:rPr>
        <w:t>has the meaning given to it in the Plan but for the avoidance of doubt shall include a UK Option granted under this UK Sub-Plan;</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“Employer’s NICs” </w:t>
      </w:r>
      <w:r>
        <w:rPr>
          <w:rFonts w:ascii="Times New Roman" w:cs="Times New Roman" w:eastAsia="Times New Roman" w:hAnsi="Times New Roman"/>
          <w:sz w:val="17"/>
          <w:szCs w:val="17"/>
          <w:color w:val="auto"/>
        </w:rPr>
        <w:t>means secondary Class 1 NICs;</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“Employee” </w:t>
      </w:r>
      <w:r>
        <w:rPr>
          <w:rFonts w:ascii="Times New Roman" w:cs="Times New Roman" w:eastAsia="Times New Roman" w:hAnsi="Times New Roman"/>
          <w:sz w:val="17"/>
          <w:szCs w:val="17"/>
          <w:color w:val="auto"/>
        </w:rPr>
        <w:t>means any individual who is an employee of a Group Company;</w:t>
      </w:r>
    </w:p>
    <w:p>
      <w:pPr>
        <w:spacing w:after="0" w:line="197" w:lineRule="exact"/>
        <w:rPr>
          <w:sz w:val="20"/>
          <w:szCs w:val="20"/>
          <w:color w:val="auto"/>
        </w:rPr>
      </w:pPr>
    </w:p>
    <w:p>
      <w:pPr>
        <w:jc w:val="both"/>
        <w:ind w:firstLine="509"/>
        <w:spacing w:after="0" w:line="307" w:lineRule="auto"/>
        <w:rPr>
          <w:sz w:val="20"/>
          <w:szCs w:val="20"/>
          <w:color w:val="auto"/>
        </w:rPr>
      </w:pPr>
      <w:r>
        <w:rPr>
          <w:rFonts w:ascii="Times New Roman" w:cs="Times New Roman" w:eastAsia="Times New Roman" w:hAnsi="Times New Roman"/>
          <w:sz w:val="17"/>
          <w:szCs w:val="17"/>
          <w:i w:val="1"/>
          <w:iCs w:val="1"/>
          <w:color w:val="auto"/>
        </w:rPr>
        <w:t xml:space="preserve">“Exercise Price” </w:t>
      </w:r>
      <w:r>
        <w:rPr>
          <w:rFonts w:ascii="Times New Roman" w:cs="Times New Roman" w:eastAsia="Times New Roman" w:hAnsi="Times New Roman"/>
          <w:sz w:val="17"/>
          <w:szCs w:val="17"/>
          <w:color w:val="auto"/>
        </w:rPr>
        <w:t>means the price per share of Stock determined by the Award Agreement that is payable by the Optionee to exercise the UK Option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acquire the shares of Stock;</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“FSMA” </w:t>
      </w:r>
      <w:r>
        <w:rPr>
          <w:rFonts w:ascii="Times New Roman" w:cs="Times New Roman" w:eastAsia="Times New Roman" w:hAnsi="Times New Roman"/>
          <w:sz w:val="17"/>
          <w:szCs w:val="17"/>
          <w:color w:val="auto"/>
        </w:rPr>
        <w:t>means the Financial Services and Markets Act 2000;</w:t>
      </w:r>
    </w:p>
    <w:p>
      <w:pPr>
        <w:spacing w:after="0" w:line="197" w:lineRule="exact"/>
        <w:rPr>
          <w:sz w:val="20"/>
          <w:szCs w:val="20"/>
          <w:color w:val="auto"/>
        </w:rPr>
      </w:pPr>
    </w:p>
    <w:p>
      <w:pPr>
        <w:jc w:val="both"/>
        <w:ind w:firstLine="509"/>
        <w:spacing w:after="0" w:line="307" w:lineRule="auto"/>
        <w:rPr>
          <w:sz w:val="20"/>
          <w:szCs w:val="20"/>
          <w:color w:val="auto"/>
        </w:rPr>
      </w:pPr>
      <w:r>
        <w:rPr>
          <w:rFonts w:ascii="Times New Roman" w:cs="Times New Roman" w:eastAsia="Times New Roman" w:hAnsi="Times New Roman"/>
          <w:sz w:val="17"/>
          <w:szCs w:val="17"/>
          <w:i w:val="1"/>
          <w:iCs w:val="1"/>
          <w:color w:val="auto"/>
        </w:rPr>
        <w:t xml:space="preserve">“Group” </w:t>
      </w:r>
      <w:r>
        <w:rPr>
          <w:rFonts w:ascii="Times New Roman" w:cs="Times New Roman" w:eastAsia="Times New Roman" w:hAnsi="Times New Roman"/>
          <w:sz w:val="17"/>
          <w:szCs w:val="17"/>
          <w:color w:val="auto"/>
        </w:rPr>
        <w:t>in relation to a Parent Company, means that company and its Subsidiaries (and their Subsidiaries) and</w:t>
      </w:r>
      <w:r>
        <w:rPr>
          <w:rFonts w:ascii="Times New Roman" w:cs="Times New Roman" w:eastAsia="Times New Roman" w:hAnsi="Times New Roman"/>
          <w:sz w:val="17"/>
          <w:szCs w:val="17"/>
          <w:i w:val="1"/>
          <w:iCs w:val="1"/>
          <w:color w:val="auto"/>
        </w:rPr>
        <w:t xml:space="preserve"> “Group Company” </w:t>
      </w:r>
      <w:r>
        <w:rPr>
          <w:rFonts w:ascii="Times New Roman" w:cs="Times New Roman" w:eastAsia="Times New Roman" w:hAnsi="Times New Roman"/>
          <w:sz w:val="17"/>
          <w:szCs w:val="17"/>
          <w:color w:val="auto"/>
        </w:rPr>
        <w:t>shall be construed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accordingly;</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“HMRC” </w:t>
      </w:r>
      <w:r>
        <w:rPr>
          <w:rFonts w:ascii="Times New Roman" w:cs="Times New Roman" w:eastAsia="Times New Roman" w:hAnsi="Times New Roman"/>
          <w:sz w:val="17"/>
          <w:szCs w:val="17"/>
          <w:color w:val="auto"/>
        </w:rPr>
        <w:t>means HM Revenue &amp; Customs;</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“ITEPA” </w:t>
      </w:r>
      <w:r>
        <w:rPr>
          <w:rFonts w:ascii="Times New Roman" w:cs="Times New Roman" w:eastAsia="Times New Roman" w:hAnsi="Times New Roman"/>
          <w:sz w:val="17"/>
          <w:szCs w:val="17"/>
          <w:color w:val="auto"/>
        </w:rPr>
        <w:t>means the Income Tax (Earnings and Pensions) Act2003;</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“NICs” </w:t>
      </w:r>
      <w:r>
        <w:rPr>
          <w:rFonts w:ascii="Times New Roman" w:cs="Times New Roman" w:eastAsia="Times New Roman" w:hAnsi="Times New Roman"/>
          <w:sz w:val="17"/>
          <w:szCs w:val="17"/>
          <w:color w:val="auto"/>
        </w:rPr>
        <w:t>means national insurance contributions;</w:t>
      </w:r>
    </w:p>
    <w:p>
      <w:pPr>
        <w:sectPr>
          <w:pgSz w:w="11900" w:h="16838" w:orient="portrait"/>
          <w:cols w:equalWidth="0" w:num="1">
            <w:col w:w="11280"/>
          </w:cols>
          <w:pgMar w:left="300" w:top="108" w:right="319" w:bottom="1440" w:gutter="0" w:footer="0" w:header="0"/>
        </w:sectPr>
      </w:pPr>
    </w:p>
    <w:bookmarkStart w:id="187" w:name="page188"/>
    <w:bookmarkEnd w:id="187"/>
    <w:p>
      <w:pPr>
        <w:jc w:val="both"/>
        <w:ind w:firstLine="509"/>
        <w:spacing w:after="0" w:line="307" w:lineRule="auto"/>
        <w:rPr>
          <w:sz w:val="20"/>
          <w:szCs w:val="20"/>
          <w:color w:val="auto"/>
        </w:rPr>
      </w:pPr>
      <w:r>
        <w:rPr>
          <w:rFonts w:ascii="Times New Roman" w:cs="Times New Roman" w:eastAsia="Times New Roman" w:hAnsi="Times New Roman"/>
          <w:sz w:val="17"/>
          <w:szCs w:val="17"/>
          <w:i w:val="1"/>
          <w:iCs w:val="1"/>
          <w:color w:val="auto"/>
        </w:rPr>
        <w:t xml:space="preserve">“Option Shares” </w:t>
      </w:r>
      <w:r>
        <w:rPr>
          <w:rFonts w:ascii="Times New Roman" w:cs="Times New Roman" w:eastAsia="Times New Roman" w:hAnsi="Times New Roman"/>
          <w:sz w:val="17"/>
          <w:szCs w:val="17"/>
          <w:color w:val="auto"/>
        </w:rPr>
        <w:t>means the shares of Stock subject to a UK Option, being the maximum number of shares of Stock which can be acquired on exercise of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UK Option;</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“Optionee” </w:t>
      </w:r>
      <w:r>
        <w:rPr>
          <w:rFonts w:ascii="Times New Roman" w:cs="Times New Roman" w:eastAsia="Times New Roman" w:hAnsi="Times New Roman"/>
          <w:sz w:val="17"/>
          <w:szCs w:val="17"/>
          <w:color w:val="auto"/>
        </w:rPr>
        <w:t>means the holder of a UK Option;</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“Parent Company” </w:t>
      </w:r>
      <w:r>
        <w:rPr>
          <w:rFonts w:ascii="Times New Roman" w:cs="Times New Roman" w:eastAsia="Times New Roman" w:hAnsi="Times New Roman"/>
          <w:sz w:val="17"/>
          <w:szCs w:val="17"/>
          <w:color w:val="auto"/>
        </w:rPr>
        <w:t>means a company that has one or more Subsidiaries;</w:t>
      </w:r>
    </w:p>
    <w:p>
      <w:pPr>
        <w:spacing w:after="0" w:line="208"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7"/>
          <w:szCs w:val="17"/>
          <w:i w:val="1"/>
          <w:iCs w:val="1"/>
          <w:color w:val="auto"/>
        </w:rPr>
        <w:t xml:space="preserve">“Personal Representatives” </w:t>
      </w:r>
      <w:r>
        <w:rPr>
          <w:rFonts w:ascii="Times New Roman" w:cs="Times New Roman" w:eastAsia="Times New Roman" w:hAnsi="Times New Roman"/>
          <w:sz w:val="17"/>
          <w:szCs w:val="17"/>
          <w:color w:val="auto"/>
        </w:rPr>
        <w:t>in relation to an Optionee, means the Optionee’s legal personal representatives (being either the executors of the Optionee’s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whom a valid grant of probate has been made or the duly appointed administrators of the Optionee’s estate) who in either case have provided the Administrator with satisfactory evidence of their appointment;</w:t>
      </w:r>
    </w:p>
    <w:p>
      <w:pPr>
        <w:spacing w:after="0" w:line="134" w:lineRule="exact"/>
        <w:rPr>
          <w:sz w:val="20"/>
          <w:szCs w:val="20"/>
          <w:color w:val="auto"/>
        </w:rPr>
      </w:pPr>
    </w:p>
    <w:p>
      <w:pPr>
        <w:jc w:val="both"/>
        <w:ind w:firstLine="509"/>
        <w:spacing w:after="0" w:line="307" w:lineRule="auto"/>
        <w:rPr>
          <w:sz w:val="20"/>
          <w:szCs w:val="20"/>
          <w:color w:val="auto"/>
        </w:rPr>
      </w:pPr>
      <w:r>
        <w:rPr>
          <w:rFonts w:ascii="Times New Roman" w:cs="Times New Roman" w:eastAsia="Times New Roman" w:hAnsi="Times New Roman"/>
          <w:sz w:val="17"/>
          <w:szCs w:val="17"/>
          <w:i w:val="1"/>
          <w:iCs w:val="1"/>
          <w:color w:val="auto"/>
        </w:rPr>
        <w:t xml:space="preserve">“Plan” </w:t>
      </w:r>
      <w:r>
        <w:rPr>
          <w:rFonts w:ascii="Times New Roman" w:cs="Times New Roman" w:eastAsia="Times New Roman" w:hAnsi="Times New Roman"/>
          <w:sz w:val="17"/>
          <w:szCs w:val="17"/>
          <w:color w:val="auto"/>
        </w:rPr>
        <w:t>means the Amended and Restatement Public Policy Holding Company, Inc. 2021 Omnibus Incentive Plan, to which this sub-plan is attached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varied from time to time);</w:t>
      </w:r>
    </w:p>
    <w:p>
      <w:pPr>
        <w:spacing w:after="0" w:line="115" w:lineRule="exact"/>
        <w:rPr>
          <w:sz w:val="20"/>
          <w:szCs w:val="20"/>
          <w:color w:val="auto"/>
        </w:rPr>
      </w:pPr>
    </w:p>
    <w:p>
      <w:pPr>
        <w:jc w:val="both"/>
        <w:ind w:firstLine="509"/>
        <w:spacing w:after="0" w:line="307" w:lineRule="auto"/>
        <w:rPr>
          <w:sz w:val="20"/>
          <w:szCs w:val="20"/>
          <w:color w:val="auto"/>
        </w:rPr>
      </w:pPr>
      <w:r>
        <w:rPr>
          <w:rFonts w:ascii="Times New Roman" w:cs="Times New Roman" w:eastAsia="Times New Roman" w:hAnsi="Times New Roman"/>
          <w:sz w:val="17"/>
          <w:szCs w:val="17"/>
          <w:i w:val="1"/>
          <w:iCs w:val="1"/>
          <w:color w:val="auto"/>
        </w:rPr>
        <w:t xml:space="preserve">“Relevant Company” </w:t>
      </w:r>
      <w:r>
        <w:rPr>
          <w:rFonts w:ascii="Times New Roman" w:cs="Times New Roman" w:eastAsia="Times New Roman" w:hAnsi="Times New Roman"/>
          <w:sz w:val="17"/>
          <w:szCs w:val="17"/>
          <w:color w:val="auto"/>
        </w:rPr>
        <w:t>means the company which incurs a Tax Liability as set out in Rule 8 which includes (but is not limited to) the company by reference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the Optionee is an Employee;</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“Section 431 Election” </w:t>
      </w:r>
      <w:r>
        <w:rPr>
          <w:rFonts w:ascii="Times New Roman" w:cs="Times New Roman" w:eastAsia="Times New Roman" w:hAnsi="Times New Roman"/>
          <w:sz w:val="17"/>
          <w:szCs w:val="17"/>
          <w:color w:val="auto"/>
        </w:rPr>
        <w:t>means an election in accordance with section 431 of ITEPA;</w:t>
      </w:r>
    </w:p>
    <w:p>
      <w:pPr>
        <w:spacing w:after="0" w:line="197" w:lineRule="exact"/>
        <w:rPr>
          <w:sz w:val="20"/>
          <w:szCs w:val="20"/>
          <w:color w:val="auto"/>
        </w:rPr>
      </w:pPr>
    </w:p>
    <w:p>
      <w:pPr>
        <w:jc w:val="both"/>
        <w:ind w:firstLine="509"/>
        <w:spacing w:after="0" w:line="307" w:lineRule="auto"/>
        <w:rPr>
          <w:sz w:val="20"/>
          <w:szCs w:val="20"/>
          <w:color w:val="auto"/>
        </w:rPr>
      </w:pPr>
      <w:r>
        <w:rPr>
          <w:rFonts w:ascii="Times New Roman" w:cs="Times New Roman" w:eastAsia="Times New Roman" w:hAnsi="Times New Roman"/>
          <w:sz w:val="17"/>
          <w:szCs w:val="17"/>
          <w:i w:val="1"/>
          <w:iCs w:val="1"/>
          <w:color w:val="auto"/>
        </w:rPr>
        <w:t xml:space="preserve">“Subsidiary” </w:t>
      </w:r>
      <w:r>
        <w:rPr>
          <w:rFonts w:ascii="Times New Roman" w:cs="Times New Roman" w:eastAsia="Times New Roman" w:hAnsi="Times New Roman"/>
          <w:sz w:val="17"/>
          <w:szCs w:val="17"/>
          <w:color w:val="auto"/>
        </w:rPr>
        <w:t>means a body corporate which is a subsidiary of the Company within the meaning of section 1159 of the Companies Act 2006 and</w:t>
      </w:r>
      <w:r>
        <w:rPr>
          <w:rFonts w:ascii="Times New Roman" w:cs="Times New Roman" w:eastAsia="Times New Roman" w:hAnsi="Times New Roman"/>
          <w:sz w:val="17"/>
          <w:szCs w:val="17"/>
          <w:i w:val="1"/>
          <w:iCs w:val="1"/>
          <w:color w:val="auto"/>
        </w:rPr>
        <w:t xml:space="preserve"> “Subsidiaries” </w:t>
      </w:r>
      <w:r>
        <w:rPr>
          <w:rFonts w:ascii="Times New Roman" w:cs="Times New Roman" w:eastAsia="Times New Roman" w:hAnsi="Times New Roman"/>
          <w:sz w:val="17"/>
          <w:szCs w:val="17"/>
          <w:color w:val="auto"/>
        </w:rPr>
        <w:t>shall be construed accordingly;</w:t>
      </w:r>
    </w:p>
    <w:p>
      <w:pPr>
        <w:spacing w:after="0" w:line="115"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“Tax Liability” </w:t>
      </w:r>
      <w:r>
        <w:rPr>
          <w:rFonts w:ascii="Times New Roman" w:cs="Times New Roman" w:eastAsia="Times New Roman" w:hAnsi="Times New Roman"/>
          <w:sz w:val="17"/>
          <w:szCs w:val="17"/>
          <w:color w:val="auto"/>
        </w:rPr>
        <w:t>means all taxes (whether federal, local, state or otherwise), NICs (including, if required by the Administrator and specified in the applicable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 Agreement, Employer’s NICs), social security, or other levies or payroll withholdings, in each case together with all penalties, fines, interest, charges, costs and expenses in relation to the same arising at any time in respect of or by reference to or in connection with:</w:t>
      </w:r>
    </w:p>
    <w:p>
      <w:pPr>
        <w:spacing w:after="0" w:line="144" w:lineRule="exact"/>
        <w:rPr>
          <w:sz w:val="20"/>
          <w:szCs w:val="20"/>
          <w:color w:val="auto"/>
        </w:rPr>
      </w:pPr>
    </w:p>
    <w:p>
      <w:pPr>
        <w:ind w:left="880" w:hanging="366"/>
        <w:spacing w:after="0"/>
        <w:tabs>
          <w:tab w:leader="none" w:pos="88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UK Option (including but not limited to its grant, exercise, release, assignment, cancellation, surrender or otherwise); or</w:t>
      </w:r>
    </w:p>
    <w:p>
      <w:pPr>
        <w:spacing w:after="0" w:line="165" w:lineRule="exact"/>
        <w:rPr>
          <w:rFonts w:ascii="Times New Roman" w:cs="Times New Roman" w:eastAsia="Times New Roman" w:hAnsi="Times New Roman"/>
          <w:sz w:val="17"/>
          <w:szCs w:val="17"/>
          <w:color w:val="auto"/>
        </w:rPr>
      </w:pPr>
    </w:p>
    <w:p>
      <w:pPr>
        <w:ind w:left="880" w:hanging="366"/>
        <w:spacing w:after="0"/>
        <w:tabs>
          <w:tab w:leader="none" w:pos="88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shares of Stock (or other securities or assets):</w:t>
      </w:r>
    </w:p>
    <w:p>
      <w:pPr>
        <w:spacing w:after="0" w:line="175"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acquired on exercise of a UK Option;</w:t>
      </w:r>
    </w:p>
    <w:p>
      <w:pPr>
        <w:spacing w:after="0" w:line="165"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earmarked or held to satisfy a UK Option;</w:t>
      </w:r>
    </w:p>
    <w:p>
      <w:pPr>
        <w:spacing w:after="0" w:line="175" w:lineRule="exact"/>
        <w:rPr>
          <w:rFonts w:ascii="Times New Roman" w:cs="Times New Roman" w:eastAsia="Times New Roman" w:hAnsi="Times New Roman"/>
          <w:sz w:val="17"/>
          <w:szCs w:val="17"/>
          <w:color w:val="auto"/>
        </w:rPr>
      </w:pPr>
    </w:p>
    <w:p>
      <w:pPr>
        <w:ind w:left="1540" w:hanging="517"/>
        <w:spacing w:after="0"/>
        <w:tabs>
          <w:tab w:leader="none" w:pos="154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acquired as a result of holding a UK Option; or</w:t>
      </w:r>
    </w:p>
    <w:p>
      <w:pPr>
        <w:spacing w:after="0" w:line="165"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acquired in consideration of the assignment or surrender of a UK Option;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80"/>
          </w:cols>
          <w:pgMar w:left="300" w:top="1314" w:right="319" w:bottom="1440" w:gutter="0" w:footer="0" w:header="0"/>
        </w:sectPr>
      </w:pPr>
    </w:p>
    <w:bookmarkStart w:id="188" w:name="page189"/>
    <w:bookmarkEnd w:id="188"/>
    <w:p>
      <w:pPr>
        <w:ind w:left="520"/>
        <w:spacing w:after="0"/>
        <w:tabs>
          <w:tab w:leader="none" w:pos="860" w:val="left"/>
        </w:tabs>
        <w:rPr>
          <w:sz w:val="20"/>
          <w:szCs w:val="20"/>
          <w:color w:val="auto"/>
        </w:rPr>
      </w:pPr>
      <w:r>
        <w:rPr>
          <w:rFonts w:ascii="Times New Roman" w:cs="Times New Roman" w:eastAsia="Times New Roman" w:hAnsi="Times New Roman"/>
          <w:sz w:val="17"/>
          <w:szCs w:val="17"/>
          <w:color w:val="auto"/>
        </w:rPr>
        <w:t>(c)</w:t>
      </w:r>
      <w:r>
        <w:rPr>
          <w:sz w:val="20"/>
          <w:szCs w:val="20"/>
          <w:color w:val="auto"/>
        </w:rPr>
        <w:tab/>
      </w:r>
      <w:r>
        <w:rPr>
          <w:rFonts w:ascii="Times New Roman" w:cs="Times New Roman" w:eastAsia="Times New Roman" w:hAnsi="Times New Roman"/>
          <w:sz w:val="16"/>
          <w:szCs w:val="16"/>
          <w:color w:val="auto"/>
        </w:rPr>
        <w:t>any other securities (or other assets) acquired or earmarked as a result of holding shares of Stock or other securities or assets mentioned in (b) above;</w:t>
      </w:r>
    </w:p>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including for the avoidance of doubt and without limitation, any liability arising after the termination of the Optionee’s employment for whatever reason, and any amount due in respect of any failure by the Optionee or any other person to make good such amount in the time limit specified in section 222 of ITEPA (or equivalent law of any jurisdiction outside the United Kingdom);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which:</w:t>
      </w:r>
    </w:p>
    <w:p>
      <w:pPr>
        <w:spacing w:after="0" w:line="176" w:lineRule="exact"/>
        <w:rPr>
          <w:sz w:val="20"/>
          <w:szCs w:val="20"/>
          <w:color w:val="auto"/>
        </w:rPr>
      </w:pPr>
    </w:p>
    <w:p>
      <w:pPr>
        <w:ind w:left="1020" w:hanging="506"/>
        <w:spacing w:after="0"/>
        <w:tabs>
          <w:tab w:leader="none" w:pos="10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arise or be incurred in any jurisdiction whatsoever; and</w:t>
      </w:r>
    </w:p>
    <w:p>
      <w:pPr>
        <w:spacing w:after="0" w:line="165"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law of the same jurisdiction may or shall be recovered from the person entitled to the UK Option;</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“UK” </w:t>
      </w:r>
      <w:r>
        <w:rPr>
          <w:rFonts w:ascii="Times New Roman" w:cs="Times New Roman" w:eastAsia="Times New Roman" w:hAnsi="Times New Roman"/>
          <w:sz w:val="17"/>
          <w:szCs w:val="17"/>
          <w:color w:val="auto"/>
        </w:rPr>
        <w:t>means the United Kingdom of England and Wales;</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“UK Employee” </w:t>
      </w:r>
      <w:r>
        <w:rPr>
          <w:rFonts w:ascii="Times New Roman" w:cs="Times New Roman" w:eastAsia="Times New Roman" w:hAnsi="Times New Roman"/>
          <w:sz w:val="17"/>
          <w:szCs w:val="17"/>
          <w:color w:val="auto"/>
        </w:rPr>
        <w:t>means any Employee who is resident and providing services in the UK for tax purposes;</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“UK Option” </w:t>
      </w:r>
      <w:r>
        <w:rPr>
          <w:rFonts w:ascii="Times New Roman" w:cs="Times New Roman" w:eastAsia="Times New Roman" w:hAnsi="Times New Roman"/>
          <w:sz w:val="17"/>
          <w:szCs w:val="17"/>
          <w:color w:val="auto"/>
        </w:rPr>
        <w:t>means an option to purchase shares of Stock granted pursuant to this UK Sub-Plan; and</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“UK Sub-Plan” </w:t>
      </w:r>
      <w:r>
        <w:rPr>
          <w:rFonts w:ascii="Times New Roman" w:cs="Times New Roman" w:eastAsia="Times New Roman" w:hAnsi="Times New Roman"/>
          <w:sz w:val="17"/>
          <w:szCs w:val="17"/>
          <w:color w:val="auto"/>
        </w:rPr>
        <w:t>means this UK Sub-Plan to the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Unless the context requires otherwise, in this UK Sub-Plan:</w:t>
      </w:r>
    </w:p>
    <w:p>
      <w:pPr>
        <w:spacing w:after="0" w:line="261" w:lineRule="exact"/>
        <w:rPr>
          <w:sz w:val="20"/>
          <w:szCs w:val="20"/>
          <w:color w:val="auto"/>
        </w:rPr>
      </w:pPr>
    </w:p>
    <w:p>
      <w:pPr>
        <w:ind w:left="1020" w:hanging="506"/>
        <w:spacing w:after="0"/>
        <w:tabs>
          <w:tab w:leader="none" w:pos="10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singular includes the plural and vice versa and any reference to one gender includes the other genders;</w:t>
      </w:r>
    </w:p>
    <w:p>
      <w:pPr>
        <w:spacing w:after="0" w:line="165" w:lineRule="exact"/>
        <w:rPr>
          <w:rFonts w:ascii="Times New Roman" w:cs="Times New Roman" w:eastAsia="Times New Roman" w:hAnsi="Times New Roman"/>
          <w:sz w:val="17"/>
          <w:szCs w:val="17"/>
          <w:color w:val="auto"/>
        </w:rPr>
      </w:pPr>
    </w:p>
    <w:p>
      <w:pPr>
        <w:ind w:firstLine="514"/>
        <w:spacing w:after="0" w:line="263" w:lineRule="auto"/>
        <w:tabs>
          <w:tab w:leader="none" w:pos="101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 to any enactment shall be construed as a reference to UK legislation in the first instance and that enactment as consolidated, amended, re-enacted or replaced from time to time and shall include any regulations made thereunder;</w:t>
      </w:r>
    </w:p>
    <w:p>
      <w:pPr>
        <w:spacing w:after="0" w:line="133"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period of time which is specified and starts from a given day or the day of an act or event, shall be calculated exclusive of that day;</w:t>
      </w:r>
    </w:p>
    <w:p>
      <w:pPr>
        <w:spacing w:after="0" w:line="175"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headings and sub-headings are for ease of reference only, and do not affect the interpretation of any provision;</w:t>
      </w:r>
    </w:p>
    <w:p>
      <w:pPr>
        <w:spacing w:after="0" w:line="165"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reference to a “Rule” shall be to a rule of this UK Sub-Plan; and</w:t>
      </w:r>
    </w:p>
    <w:p>
      <w:pPr>
        <w:spacing w:after="0" w:line="165"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words and expressions not otherwise defined in this UK Sub-Plan shall have the meaning given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80"/>
          </w:cols>
          <w:pgMar w:left="300" w:top="1307" w:right="319" w:bottom="1440" w:gutter="0" w:footer="0" w:header="0"/>
        </w:sectPr>
      </w:pPr>
    </w:p>
    <w:bookmarkStart w:id="189" w:name="page190"/>
    <w:bookmarkEnd w:id="189"/>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7"/>
          <w:szCs w:val="17"/>
          <w:u w:val="single" w:color="auto"/>
          <w:color w:val="auto"/>
        </w:rPr>
        <w:t>TERMS AND CONDITIONS</w:t>
      </w:r>
    </w:p>
    <w:p>
      <w:pPr>
        <w:spacing w:after="0" w:line="176" w:lineRule="exact"/>
        <w:rPr>
          <w:sz w:val="20"/>
          <w:szCs w:val="20"/>
          <w:color w:val="auto"/>
        </w:rPr>
      </w:pPr>
    </w:p>
    <w:p>
      <w:pPr>
        <w:ind w:firstLine="514"/>
        <w:spacing w:after="0" w:line="263" w:lineRule="auto"/>
        <w:tabs>
          <w:tab w:leader="none" w:pos="1016"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UK Options granted pursuant to this UK Sub-Plan shall be governed by the terms of the Plan, subject to any such amendments and additions set out in the UK Sub-Plan, and by the terms of the individual Award Agreement.</w:t>
      </w:r>
    </w:p>
    <w:p>
      <w:pPr>
        <w:spacing w:after="0" w:line="123"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any conflict between the terms of the Plan and those of this UK Sub-Plan, the terms of this UK Sub-Plan shall prevail.</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u w:val="single" w:color="auto"/>
          <w:color w:val="auto"/>
        </w:rPr>
        <w:t>PURPOSE</w:t>
      </w:r>
    </w:p>
    <w:p>
      <w:pPr>
        <w:spacing w:after="0" w:line="176" w:lineRule="exact"/>
        <w:rPr>
          <w:sz w:val="20"/>
          <w:szCs w:val="20"/>
          <w:color w:val="auto"/>
        </w:rPr>
      </w:pPr>
    </w:p>
    <w:p>
      <w:pPr>
        <w:ind w:firstLine="514"/>
        <w:spacing w:after="0" w:line="263" w:lineRule="auto"/>
        <w:tabs>
          <w:tab w:leader="none" w:pos="101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UK Sub-Plan is a subplan of the Plan established by the Administrator in accordance with section 2 (f) of the Plan to enable the Company to grant UK Options to UK Employees.</w:t>
      </w:r>
    </w:p>
    <w:p>
      <w:pPr>
        <w:spacing w:after="0" w:line="123" w:lineRule="exact"/>
        <w:rPr>
          <w:rFonts w:ascii="Times New Roman" w:cs="Times New Roman" w:eastAsia="Times New Roman" w:hAnsi="Times New Roman"/>
          <w:sz w:val="17"/>
          <w:szCs w:val="17"/>
          <w:color w:val="auto"/>
        </w:rPr>
      </w:pPr>
    </w:p>
    <w:p>
      <w:pPr>
        <w:ind w:firstLine="514"/>
        <w:spacing w:after="0" w:line="276" w:lineRule="auto"/>
        <w:tabs>
          <w:tab w:leader="none" w:pos="101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UK Options granted at any time pursuant to this UK Sub-Plan are granted for commercial reasons in order to recruit or retain Employees and not as part of a plan or arrangement the main purpose, or one of the main purposes, of which is the avoidance of tax.</w:t>
      </w:r>
    </w:p>
    <w:p>
      <w:pPr>
        <w:spacing w:after="0" w:line="112"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UK Sub-Plan shall be used solely to grant Awards to UK Employees.</w:t>
      </w:r>
    </w:p>
    <w:p>
      <w:pPr>
        <w:spacing w:after="0" w:line="165"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UK Options granted pursuant to this UK Sub-Plan are granted pursuant to an “employees’ share scheme” for the purposes of FSMA.</w:t>
      </w:r>
    </w:p>
    <w:p>
      <w:pPr>
        <w:spacing w:after="0" w:line="165" w:lineRule="exact"/>
        <w:rPr>
          <w:rFonts w:ascii="Times New Roman" w:cs="Times New Roman" w:eastAsia="Times New Roman" w:hAnsi="Times New Roman"/>
          <w:sz w:val="17"/>
          <w:szCs w:val="17"/>
          <w:color w:val="auto"/>
        </w:rPr>
      </w:pPr>
    </w:p>
    <w:p>
      <w:pPr>
        <w:ind w:firstLine="514"/>
        <w:spacing w:after="0" w:line="276" w:lineRule="auto"/>
        <w:tabs>
          <w:tab w:leader="none" w:pos="101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UK Options granted under this UK Sub-Plan shall constitute a Stock Option and an Award as defined in the Plan but shall not constitute an Incentive Stock Option or a Non-Qualified Stock Option as defined in the Plan.</w:t>
      </w:r>
    </w:p>
    <w:p>
      <w:pPr>
        <w:spacing w:after="0" w:line="1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GRANT OF OPTIONS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Any UK Option shall be granted by an Award Agreement entered into by the Company and the Optionee which shall include the following:</w:t>
      </w:r>
    </w:p>
    <w:p>
      <w:pPr>
        <w:spacing w:after="0" w:line="165" w:lineRule="exact"/>
        <w:rPr>
          <w:sz w:val="20"/>
          <w:szCs w:val="20"/>
          <w:color w:val="auto"/>
        </w:rPr>
      </w:pPr>
    </w:p>
    <w:p>
      <w:pPr>
        <w:ind w:left="1020" w:hanging="506"/>
        <w:spacing w:after="0"/>
        <w:tabs>
          <w:tab w:leader="none" w:pos="10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Date;</w:t>
      </w:r>
    </w:p>
    <w:p>
      <w:pPr>
        <w:spacing w:after="0" w:line="165"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per share of Stock;</w:t>
      </w:r>
    </w:p>
    <w:p>
      <w:pPr>
        <w:spacing w:after="0" w:line="175"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Option Shares;</w:t>
      </w:r>
    </w:p>
    <w:p>
      <w:pPr>
        <w:spacing w:after="0" w:line="165" w:lineRule="exact"/>
        <w:rPr>
          <w:rFonts w:ascii="Times New Roman" w:cs="Times New Roman" w:eastAsia="Times New Roman" w:hAnsi="Times New Roman"/>
          <w:sz w:val="17"/>
          <w:szCs w:val="17"/>
          <w:color w:val="auto"/>
        </w:rPr>
      </w:pPr>
    </w:p>
    <w:p>
      <w:pPr>
        <w:ind w:firstLine="514"/>
        <w:spacing w:after="0" w:line="276" w:lineRule="auto"/>
        <w:tabs>
          <w:tab w:leader="none" w:pos="101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confirming whether the Administrator will or may require the reimbursement of Employer’s NICs or other employer’s social security contributions arising in any other jurisdiction pursuant to Rule 8.3; and</w:t>
      </w:r>
    </w:p>
    <w:p>
      <w:pPr>
        <w:spacing w:after="0" w:line="112"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it will be a condition of exercise of the UK Option that a Section 431 Election be duly signed by the Optionee, if so required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80"/>
          </w:cols>
          <w:pgMar w:left="300" w:top="1440" w:right="31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u w:val="single" w:color="auto"/>
          <w:color w:val="auto"/>
        </w:rPr>
        <w:t>NON-TRANSFERABILITY OF OPTIONS</w:t>
      </w:r>
    </w:p>
    <w:p>
      <w:pPr>
        <w:spacing w:after="0" w:line="208" w:lineRule="exact"/>
        <w:rPr>
          <w:sz w:val="20"/>
          <w:szCs w:val="20"/>
          <w:color w:val="auto"/>
        </w:rPr>
      </w:pPr>
    </w:p>
    <w:p>
      <w:pPr>
        <w:ind w:right="400"/>
        <w:spacing w:after="0" w:line="257" w:lineRule="auto"/>
        <w:rPr>
          <w:sz w:val="20"/>
          <w:szCs w:val="20"/>
          <w:color w:val="auto"/>
        </w:rPr>
      </w:pPr>
      <w:r>
        <w:rPr>
          <w:rFonts w:ascii="Times New Roman" w:cs="Times New Roman" w:eastAsia="Times New Roman" w:hAnsi="Times New Roman"/>
          <w:sz w:val="17"/>
          <w:szCs w:val="17"/>
          <w:color w:val="auto"/>
        </w:rPr>
        <w:t>Notwithstanding any other provision in the Plan or relevant Award Agreement, no UK Option or any right thereunder granted under the UK Sub-Plan shall be capable of being transferred, assigned or charged in any manner whatsoever except on the death of an Optionee in which case the rights may transfer only to the Personal Representatives of the Optionee. Upon any such purported transfer, assignment, or charge the UK Option shall immediately lapse and cease to be exercisable.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SECTION 6. </w:t>
      </w:r>
      <w:r>
        <w:rPr>
          <w:rFonts w:ascii="Times New Roman" w:cs="Times New Roman" w:eastAsia="Times New Roman" w:hAnsi="Times New Roman"/>
          <w:sz w:val="17"/>
          <w:szCs w:val="17"/>
          <w:u w:val="single" w:color="auto"/>
          <w:color w:val="auto"/>
        </w:rPr>
        <w:t>LEAVES OF ABSENCE</w:t>
      </w:r>
    </w:p>
    <w:p>
      <w:pPr>
        <w:spacing w:after="0" w:line="16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7"/>
          <w:szCs w:val="17"/>
          <w:color w:val="auto"/>
        </w:rPr>
        <w:t>For the purposes section 15 (b) of the Plan, in relation to a UK Option the service of an Optionee who is absent from work on any statutory and/or any enhanced contractual entitlement to leave (including but not limited to, maternity, paternity, adoption or parental leave) shall be deemed to continue during that period without the requirement for prior approval of the Company or Administrator.</w:t>
      </w:r>
    </w:p>
    <w:p>
      <w:pPr>
        <w:spacing w:after="0" w:line="2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 xml:space="preserve">SECTION 7. </w:t>
      </w:r>
      <w:r>
        <w:rPr>
          <w:rFonts w:ascii="Times New Roman" w:cs="Times New Roman" w:eastAsia="Times New Roman" w:hAnsi="Times New Roman"/>
          <w:sz w:val="17"/>
          <w:szCs w:val="17"/>
          <w:u w:val="single" w:color="auto"/>
          <w:color w:val="auto"/>
        </w:rPr>
        <w:t>MANNER OF EXERCISE OF UK OPTIONS</w:t>
      </w:r>
      <w:r>
        <w:rPr>
          <w:rFonts w:ascii="Times New Roman" w:cs="Times New Roman" w:eastAsia="Times New Roman" w:hAnsi="Times New Roman"/>
          <w:sz w:val="17"/>
          <w:szCs w:val="17"/>
          <w:color w:val="auto"/>
        </w:rPr>
        <w:t xml:space="preserve"> Section 5 (c) to (e) shall apply to UK Options subject to the following</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changes:</w:t>
      </w:r>
    </w:p>
    <w:p>
      <w:pPr>
        <w:spacing w:after="0" w:line="250" w:lineRule="exact"/>
        <w:rPr>
          <w:sz w:val="20"/>
          <w:szCs w:val="20"/>
          <w:color w:val="auto"/>
        </w:rPr>
      </w:pPr>
    </w:p>
    <w:p>
      <w:pPr>
        <w:jc w:val="both"/>
        <w:ind w:firstLine="514"/>
        <w:spacing w:after="0" w:line="255" w:lineRule="auto"/>
        <w:tabs>
          <w:tab w:leader="none" w:pos="1016"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the Exercise Price may with prior approval from the Administrator include an undertaking to pay and instructing funds to be deducted from proceeds of sale of any shares of Stock due to the Optionee and paid to the Company (or such other person as the Administrator may determine) on behalf of the Optionee or other sums due to the Optionee)) of a sum equal to the Exercise Price per share of Stock;</w:t>
      </w:r>
    </w:p>
    <w:p>
      <w:pPr>
        <w:spacing w:after="0" w:line="130" w:lineRule="exact"/>
        <w:rPr>
          <w:rFonts w:ascii="Times New Roman" w:cs="Times New Roman" w:eastAsia="Times New Roman" w:hAnsi="Times New Roman"/>
          <w:sz w:val="17"/>
          <w:szCs w:val="17"/>
          <w:color w:val="auto"/>
        </w:rPr>
      </w:pPr>
    </w:p>
    <w:p>
      <w:pPr>
        <w:jc w:val="both"/>
        <w:ind w:firstLine="514"/>
        <w:spacing w:after="0" w:line="248" w:lineRule="auto"/>
        <w:tabs>
          <w:tab w:leader="none" w:pos="101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a condition of exercise of any UK Option that the Optionee delivers to the Company payment (in such manner as the Administrator shall request, which may with prior approval from the Administrator include an undertaking to pay and instructing funds to be deducted from proceeds of sale of any shares of Stock due to the Optionee and paid to the Company (or such other person as the Administrator may determine) on behalf of the Optionee or other sums due to the Optionee) of a sum equal to (if relevant) any Tax Liability and (if relevant) any Employer NICs or other relevant employer’s social security contributions arising in any other jurisdiction in accordance with Rule 8.1;</w:t>
      </w:r>
    </w:p>
    <w:p>
      <w:pPr>
        <w:spacing w:after="0" w:line="146" w:lineRule="exact"/>
        <w:rPr>
          <w:rFonts w:ascii="Times New Roman" w:cs="Times New Roman" w:eastAsia="Times New Roman" w:hAnsi="Times New Roman"/>
          <w:sz w:val="17"/>
          <w:szCs w:val="17"/>
          <w:color w:val="auto"/>
        </w:rPr>
      </w:pPr>
    </w:p>
    <w:p>
      <w:pPr>
        <w:ind w:firstLine="514"/>
        <w:spacing w:after="0" w:line="263" w:lineRule="auto"/>
        <w:tabs>
          <w:tab w:leader="none" w:pos="1016"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a condition of exercise of any UK Option that the Optionee delivers to the Company any election or agreement regarding Employer’s NICs or other relevant employer’s social security contributions arising in any other jurisdiction if required pursuant to Rule 8.1; and</w:t>
      </w:r>
    </w:p>
    <w:p>
      <w:pPr>
        <w:spacing w:after="0" w:line="123" w:lineRule="exact"/>
        <w:rPr>
          <w:rFonts w:ascii="Times New Roman" w:cs="Times New Roman" w:eastAsia="Times New Roman" w:hAnsi="Times New Roman"/>
          <w:sz w:val="17"/>
          <w:szCs w:val="17"/>
          <w:color w:val="auto"/>
        </w:rPr>
      </w:pPr>
    </w:p>
    <w:p>
      <w:pPr>
        <w:ind w:firstLine="514"/>
        <w:spacing w:after="0" w:line="276" w:lineRule="auto"/>
        <w:tabs>
          <w:tab w:leader="none" w:pos="101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a condition of exercise of any UK Option that the Optionee delivers to the Company a Section 431 Election (should the Administrator so require) duly signed by the Optionee.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80"/>
          </w:cols>
          <w:pgMar w:left="300" w:top="1307" w:right="31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u w:val="single" w:color="auto"/>
          <w:color w:val="auto"/>
        </w:rPr>
        <w:t>TAX</w:t>
      </w:r>
    </w:p>
    <w:p>
      <w:pPr>
        <w:spacing w:after="0" w:line="165"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Each Optionee shall indemnify and keep indemnified, the Company or Relevant Company, against any Tax Liability and shall pay the Company or Relevant Company, a sum equal to the Tax Liability immediately upon written notice of the quantum of that liability.</w:t>
      </w:r>
    </w:p>
    <w:p>
      <w:pPr>
        <w:spacing w:after="0" w:line="113"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7"/>
          <w:szCs w:val="17"/>
          <w:color w:val="auto"/>
        </w:rPr>
        <w:t>The Company may impose such conditions upon the exercise of the UK Options as are necessary to ensure that the Relevant Company is able to meet any or all of such liabilities, including, without limitation, a condition that no exercise may take place unless the Optionee has provided the Company (or if different, the Relevant Company) with cash funds sufficient to meet such Tax Liability, or has entered into arrangements acceptable to the Administrator (or if different, the Relevant Company) to secure that such cash funds are available, or to allow the Company (or if different, the Relevant Company) to deduct the amount of such Tax Liability from any cash amounts (including salary and bonuses) which may become payable to the Optionee by any Group Company.</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Administrator may require, as a condition of the exercise of any UK Option, that the Optionee shall:</w:t>
      </w:r>
    </w:p>
    <w:p>
      <w:pPr>
        <w:spacing w:after="0" w:line="165" w:lineRule="exact"/>
        <w:rPr>
          <w:sz w:val="20"/>
          <w:szCs w:val="20"/>
          <w:color w:val="auto"/>
        </w:rPr>
      </w:pPr>
    </w:p>
    <w:p>
      <w:pPr>
        <w:ind w:left="1020" w:hanging="506"/>
        <w:spacing w:after="0"/>
        <w:tabs>
          <w:tab w:leader="none" w:pos="10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 to reimburse the Company or Group Company or Relevant Company for any Employer’s NICs arising on the exercise of a UK Option; or</w:t>
      </w:r>
    </w:p>
    <w:p>
      <w:pPr>
        <w:spacing w:after="0" w:line="175" w:lineRule="exact"/>
        <w:rPr>
          <w:rFonts w:ascii="Times New Roman" w:cs="Times New Roman" w:eastAsia="Times New Roman" w:hAnsi="Times New Roman"/>
          <w:sz w:val="17"/>
          <w:szCs w:val="17"/>
          <w:color w:val="auto"/>
        </w:rPr>
      </w:pPr>
    </w:p>
    <w:p>
      <w:pPr>
        <w:jc w:val="both"/>
        <w:ind w:firstLine="514"/>
        <w:spacing w:after="0" w:line="249" w:lineRule="auto"/>
        <w:tabs>
          <w:tab w:leader="none" w:pos="1015"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 election with the Company or Group Company or Relevant Company to assume the liability for any Employer’s NICs payable on the exercise of the UK Option, including an election under paragraph 3B of Schedule 1 to the Social Security Contributions and Benefits Act 1992 or any similar or equivalent provision in any jurisdiction other than the UK; or</w:t>
      </w:r>
    </w:p>
    <w:p>
      <w:pPr>
        <w:spacing w:after="0" w:line="144"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agree to pay the employer’s social security contributions arising in any other jurisdiction, to the extent permitted by law.</w:t>
      </w:r>
    </w:p>
    <w:p>
      <w:pPr>
        <w:spacing w:after="0" w:line="165" w:lineRule="exact"/>
        <w:rPr>
          <w:rFonts w:ascii="Times New Roman" w:cs="Times New Roman" w:eastAsia="Times New Roman" w:hAnsi="Times New Roman"/>
          <w:sz w:val="17"/>
          <w:szCs w:val="17"/>
          <w:color w:val="auto"/>
        </w:rPr>
      </w:pPr>
    </w:p>
    <w:p>
      <w:pPr>
        <w:jc w:val="both"/>
        <w:ind w:firstLine="514"/>
        <w:spacing w:after="0" w:line="243" w:lineRule="auto"/>
        <w:tabs>
          <w:tab w:leader="none" w:pos="1015"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applicable law, any underwriter lock-up periods or any Company insider trading policy (including blackout periods), the Optionee may satisfy the Tax Liability: (a) in cash, by wire transfer of immediately available funds, by cheque made payable to the order of the Company (or, if directed by the Company, the Relevant Company), provided that the Company may limit the use of the foregoing payment forms if one or more of the payment forms below is permitted, (b) to the extent permitted by the Administrator, in whole or in part by delivery of Shares, including Shares delivered by attestation and Shares retained from the Award creating the Tax Liability (or its exercise), valued at their Fair Market Value on the date of delivery, (c) if there is a public market for Shares at the time the Tax Liability is satisfied, unless the Company otherwise determines, (i) delivery (including electronically or telephonically to the extent permitted by the Company) of an irrevocable and unconditional undertaking by a broker acceptable to the Company to deliver promptly to the Company (or, if directed by the Company, the Relevant Company) sufficient funds to satisfy the Tax Liability, or (ii) delivery by the Optionee to the Company of a copy of irrevocable and unconditional instructions to a broker acceptable to the Company to deliver promptly to the Company (or if directed by the Company, the Relevant Company) cash or a cheque sufficient to satisfy the Tax Liability; provided that such amount is paid to the Company (or, if directed by the Company, the Relevant Company)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80"/>
          </w:cols>
          <w:pgMar w:left="300" w:top="1307" w:right="319" w:bottom="1440" w:gutter="0" w:footer="0" w:header="0"/>
        </w:sectPr>
      </w:pPr>
    </w:p>
    <w:bookmarkStart w:id="192" w:name="page193"/>
    <w:bookmarkEnd w:id="192"/>
    <w:p>
      <w:pPr>
        <w:jc w:val="both"/>
        <w:spacing w:after="0" w:line="242" w:lineRule="auto"/>
        <w:rPr>
          <w:sz w:val="20"/>
          <w:szCs w:val="20"/>
          <w:color w:val="auto"/>
        </w:rPr>
      </w:pPr>
      <w:r>
        <w:rPr>
          <w:rFonts w:ascii="Times New Roman" w:cs="Times New Roman" w:eastAsia="Times New Roman" w:hAnsi="Times New Roman"/>
          <w:sz w:val="17"/>
          <w:szCs w:val="17"/>
          <w:color w:val="auto"/>
        </w:rPr>
        <w:t>such time as may be required by the Administrator, or (d) to the extent permitted by the Company, any combination of the foregoing payment forms approved by the Administrator. Notwithstanding any other provision of the Plan, the number of Shares which may be so delivered or retained pursuant to clause (b) of the immediately preceding sentence shall be limited to the number of Shares which have an aggregate Fair Market Value on the date of delivery or retention no greater than the aggregate amount of such Tax Liability. If any Tax Liability will be satisfied under clause (b) above by the Company’s retention of Shares from the Award creating the Tax Liability and there is a public market for Shares at the time the Tax Liability is satisfied, the Company may elect to instruct any brokerage firm determined acceptable to the Company for such purpose to sell on the applicable Optionee's behalf some or all of the Shares retained and to remit the proceeds of the sale to the Company or its designee (or if directed by the Company, the Relevant Company), and each Optionee's acceptance of an Award under the Plan will constitute the Optionee's authorization to the Company and instruction and authorization to such brokerage firm to complete the transactions described in this sentence and the Company may exercise all such powers and may appoint any of its officers to sign all such documents in the name of the Optionee and act as the Optionee’s attorney as may be necessary for this purpose.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SECTION 9. </w:t>
      </w:r>
      <w:r>
        <w:rPr>
          <w:rFonts w:ascii="Times New Roman" w:cs="Times New Roman" w:eastAsia="Times New Roman" w:hAnsi="Times New Roman"/>
          <w:sz w:val="17"/>
          <w:szCs w:val="17"/>
          <w:u w:val="single" w:color="auto"/>
          <w:color w:val="auto"/>
        </w:rPr>
        <w:t>EMPLOYMENT RIGHTS</w:t>
      </w:r>
    </w:p>
    <w:p>
      <w:pPr>
        <w:spacing w:after="0" w:line="165" w:lineRule="exact"/>
        <w:rPr>
          <w:sz w:val="20"/>
          <w:szCs w:val="20"/>
          <w:color w:val="auto"/>
        </w:rPr>
      </w:pPr>
    </w:p>
    <w:p>
      <w:pPr>
        <w:ind w:left="1020" w:hanging="506"/>
        <w:spacing w:after="0"/>
        <w:tabs>
          <w:tab w:leader="none" w:pos="10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Optionee shall have any right or entitlement to have a UK Option granted to them under this UK Sub-Plan.</w:t>
      </w:r>
    </w:p>
    <w:p>
      <w:pPr>
        <w:spacing w:after="0" w:line="175" w:lineRule="exact"/>
        <w:rPr>
          <w:rFonts w:ascii="Times New Roman" w:cs="Times New Roman" w:eastAsia="Times New Roman" w:hAnsi="Times New Roman"/>
          <w:sz w:val="17"/>
          <w:szCs w:val="17"/>
          <w:color w:val="auto"/>
        </w:rPr>
      </w:pPr>
    </w:p>
    <w:p>
      <w:pPr>
        <w:ind w:firstLine="514"/>
        <w:spacing w:after="0" w:line="263" w:lineRule="auto"/>
        <w:tabs>
          <w:tab w:leader="none" w:pos="101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and obligations of a Optionee under the terms and conditions of their office or employment shall not be affected by their participation in the UK Sub-Plan or any right the Optionee may have to participate in the UK Sub-Plan.</w:t>
      </w:r>
    </w:p>
    <w:p>
      <w:pPr>
        <w:spacing w:after="0" w:line="133" w:lineRule="exact"/>
        <w:rPr>
          <w:rFonts w:ascii="Times New Roman" w:cs="Times New Roman" w:eastAsia="Times New Roman" w:hAnsi="Times New Roman"/>
          <w:sz w:val="17"/>
          <w:szCs w:val="17"/>
          <w:color w:val="auto"/>
        </w:rPr>
      </w:pPr>
    </w:p>
    <w:p>
      <w:pPr>
        <w:jc w:val="both"/>
        <w:ind w:firstLine="514"/>
        <w:spacing w:after="0" w:line="248" w:lineRule="auto"/>
        <w:tabs>
          <w:tab w:leader="none" w:pos="101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rights to compensation or damages shall arise in respect of the loss or diminution in value of UK Options in consequence of the termination of an Optionee’s office or employment with any company for any reason whatsoever, whether lawful or not, in so far as those rights arise, or may arise, from the Optionee ceasing to have rights under or being entitled to exercise any UK Option under the UK Sub-Plan as a result of such termination or from the loss or diminution of value of such rights or entitlements.</w:t>
      </w:r>
    </w:p>
    <w:p>
      <w:pPr>
        <w:spacing w:after="0" w:line="136"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Benefits received under this UK Sub-Plan shall not be taken into account in determining any pension or similar entitlement.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SECTION 10. </w:t>
      </w:r>
      <w:r>
        <w:rPr>
          <w:rFonts w:ascii="Times New Roman" w:cs="Times New Roman" w:eastAsia="Times New Roman" w:hAnsi="Times New Roman"/>
          <w:sz w:val="17"/>
          <w:szCs w:val="17"/>
          <w:u w:val="single" w:color="auto"/>
          <w:color w:val="auto"/>
        </w:rPr>
        <w:t>DATA PRIVACY</w:t>
      </w:r>
    </w:p>
    <w:p>
      <w:pPr>
        <w:spacing w:after="0" w:line="165"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7"/>
          <w:szCs w:val="17"/>
          <w:color w:val="auto"/>
        </w:rPr>
        <w:t>By entering into an Award Agreement, an Optionee confirms that the Company shall be entitled to obtain, retain and process personal data in accordance with the terms of a privacy notice made available to the Optionee by the Company or other Group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80"/>
          </w:cols>
          <w:pgMar w:left="300" w:top="1307" w:right="31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LAPSE DATE</w:t>
      </w:r>
    </w:p>
    <w:p>
      <w:pPr>
        <w:spacing w:after="0" w:line="165"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7"/>
          <w:szCs w:val="17"/>
          <w:color w:val="auto"/>
        </w:rPr>
        <w:t>UK Options granted under this UK Sub-Plan shall lapse on the date that is ten years after the Grant Date and for the avoidance of doubt no such UK Option shall be capable of being exercised more than ten years after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80"/>
          </w:cols>
          <w:pgMar w:left="300" w:top="1307" w:right="319" w:bottom="1440"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304165</wp:posOffset>
            </wp:positionV>
            <wp:extent cx="6513830" cy="93275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65138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26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651383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275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3">
                      <a:extLst>
                        <a:ext uri="{28A0092B-C50C-407E-A947-70E740481C1C}"/>
                      </a:extLst>
                    </a:blip>
                    <a:srcRect/>
                    <a:stretch>
                      <a:fillRect/>
                    </a:stretch>
                  </pic:blipFill>
                  <pic:spPr bwMode="auto">
                    <a:xfrm>
                      <a:off x="0" y="0"/>
                      <a:ext cx="65138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4">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5">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6">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7">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8">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9">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0">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338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1">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408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2">
                      <a:extLst>
                        <a:ext uri="{28A0092B-C50C-407E-A947-70E740481C1C}"/>
                      </a:extLst>
                    </a:blip>
                    <a:srcRect/>
                    <a:stretch>
                      <a:fillRect/>
                    </a:stretch>
                  </pic:blipFill>
                  <pic:spPr bwMode="auto">
                    <a:xfrm>
                      <a:off x="0" y="0"/>
                      <a:ext cx="65138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408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3">
                      <a:extLst>
                        <a:ext uri="{28A0092B-C50C-407E-A947-70E740481C1C}"/>
                      </a:extLst>
                    </a:blip>
                    <a:srcRect/>
                    <a:stretch>
                      <a:fillRect/>
                    </a:stretch>
                  </pic:blipFill>
                  <pic:spPr bwMode="auto">
                    <a:xfrm>
                      <a:off x="0" y="0"/>
                      <a:ext cx="65138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408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4">
                      <a:extLst>
                        <a:ext uri="{28A0092B-C50C-407E-A947-70E740481C1C}"/>
                      </a:extLst>
                    </a:blip>
                    <a:srcRect/>
                    <a:stretch>
                      <a:fillRect/>
                    </a:stretch>
                  </pic:blipFill>
                  <pic:spPr bwMode="auto">
                    <a:xfrm>
                      <a:off x="0" y="0"/>
                      <a:ext cx="65138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408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5">
                      <a:extLst>
                        <a:ext uri="{28A0092B-C50C-407E-A947-70E740481C1C}"/>
                      </a:extLst>
                    </a:blip>
                    <a:srcRect/>
                    <a:stretch>
                      <a:fillRect/>
                    </a:stretch>
                  </pic:blipFill>
                  <pic:spPr bwMode="auto">
                    <a:xfrm>
                      <a:off x="0" y="0"/>
                      <a:ext cx="65138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408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65138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275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65138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8">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9">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0">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338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1">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275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2">
                      <a:extLst>
                        <a:ext uri="{28A0092B-C50C-407E-A947-70E740481C1C}"/>
                      </a:extLst>
                    </a:blip>
                    <a:srcRect/>
                    <a:stretch>
                      <a:fillRect/>
                    </a:stretch>
                  </pic:blipFill>
                  <pic:spPr bwMode="auto">
                    <a:xfrm>
                      <a:off x="0" y="0"/>
                      <a:ext cx="65138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275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3">
                      <a:extLst>
                        <a:ext uri="{28A0092B-C50C-407E-A947-70E740481C1C}"/>
                      </a:extLst>
                    </a:blip>
                    <a:srcRect/>
                    <a:stretch>
                      <a:fillRect/>
                    </a:stretch>
                  </pic:blipFill>
                  <pic:spPr bwMode="auto">
                    <a:xfrm>
                      <a:off x="0" y="0"/>
                      <a:ext cx="65138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275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4">
                      <a:extLst>
                        <a:ext uri="{28A0092B-C50C-407E-A947-70E740481C1C}"/>
                      </a:extLst>
                    </a:blip>
                    <a:srcRect/>
                    <a:stretch>
                      <a:fillRect/>
                    </a:stretch>
                  </pic:blipFill>
                  <pic:spPr bwMode="auto">
                    <a:xfrm>
                      <a:off x="0" y="0"/>
                      <a:ext cx="65138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275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5">
                      <a:extLst>
                        <a:ext uri="{28A0092B-C50C-407E-A947-70E740481C1C}"/>
                      </a:extLst>
                    </a:blip>
                    <a:srcRect/>
                    <a:stretch>
                      <a:fillRect/>
                    </a:stretch>
                  </pic:blipFill>
                  <pic:spPr bwMode="auto">
                    <a:xfrm>
                      <a:off x="0" y="0"/>
                      <a:ext cx="65138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275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6">
                      <a:extLst>
                        <a:ext uri="{28A0092B-C50C-407E-A947-70E740481C1C}"/>
                      </a:extLst>
                    </a:blip>
                    <a:srcRect/>
                    <a:stretch>
                      <a:fillRect/>
                    </a:stretch>
                  </pic:blipFill>
                  <pic:spPr bwMode="auto">
                    <a:xfrm>
                      <a:off x="0" y="0"/>
                      <a:ext cx="65138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 13a-14(a)/15d-14(a) Certification)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George Stewart Hall, certify that:</w:t>
      </w:r>
    </w:p>
    <w:p>
      <w:pPr>
        <w:spacing w:after="0" w:line="23" w:lineRule="exact"/>
        <w:rPr>
          <w:sz w:val="20"/>
          <w:szCs w:val="20"/>
          <w:color w:val="auto"/>
        </w:rPr>
      </w:pPr>
    </w:p>
    <w:p>
      <w:pPr>
        <w:ind w:left="240" w:hanging="235"/>
        <w:spacing w:after="0"/>
        <w:tabs>
          <w:tab w:leader="none" w:pos="2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Public Policy Holding Company, Inc. for the year ended December 31, 2025;</w:t>
      </w:r>
    </w:p>
    <w:p>
      <w:pPr>
        <w:spacing w:after="0" w:line="79" w:lineRule="exact"/>
        <w:rPr>
          <w:rFonts w:ascii="Times New Roman" w:cs="Times New Roman" w:eastAsia="Times New Roman" w:hAnsi="Times New Roman"/>
          <w:sz w:val="14"/>
          <w:szCs w:val="14"/>
          <w:color w:val="auto"/>
        </w:rPr>
      </w:pPr>
    </w:p>
    <w:p>
      <w:pPr>
        <w:ind w:left="260" w:right="160" w:hanging="255"/>
        <w:spacing w:after="0" w:line="287" w:lineRule="auto"/>
        <w:tabs>
          <w:tab w:leader="none" w:pos="25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260" w:right="220" w:hanging="255"/>
        <w:spacing w:after="0" w:line="287" w:lineRule="auto"/>
        <w:tabs>
          <w:tab w:leader="none" w:pos="25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260" w:right="100" w:hanging="255"/>
        <w:spacing w:after="0" w:line="287" w:lineRule="auto"/>
        <w:tabs>
          <w:tab w:leader="none" w:pos="25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39"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3"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Intentionally omitted;</w:t>
      </w:r>
    </w:p>
    <w:p>
      <w:pPr>
        <w:spacing w:after="0" w:line="93" w:lineRule="exact"/>
        <w:rPr>
          <w:rFonts w:ascii="Times New Roman" w:cs="Times New Roman" w:eastAsia="Times New Roman" w:hAnsi="Times New Roman"/>
          <w:sz w:val="14"/>
          <w:szCs w:val="14"/>
          <w:color w:val="auto"/>
        </w:rPr>
      </w:pPr>
    </w:p>
    <w:p>
      <w:pPr>
        <w:ind w:left="520" w:right="680" w:hanging="260"/>
        <w:spacing w:after="0" w:line="287" w:lineRule="auto"/>
        <w:tabs>
          <w:tab w:leader="none" w:pos="513"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520" w:right="340" w:hanging="260"/>
        <w:spacing w:after="0" w:line="287" w:lineRule="auto"/>
        <w:tabs>
          <w:tab w:leader="none" w:pos="51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260" w:right="20" w:hanging="255"/>
        <w:spacing w:after="0" w:line="287" w:lineRule="auto"/>
        <w:tabs>
          <w:tab w:leader="none" w:pos="25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3"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48" w:lineRule="exact"/>
        <w:rPr>
          <w:sz w:val="20"/>
          <w:szCs w:val="20"/>
          <w:color w:val="auto"/>
        </w:rPr>
      </w:pPr>
    </w:p>
    <w:p>
      <w:pPr>
        <w:ind w:left="20"/>
        <w:spacing w:after="0"/>
        <w:tabs>
          <w:tab w:leader="none" w:pos="4820" w:val="left"/>
          <w:tab w:leader="none" w:pos="5600" w:val="left"/>
        </w:tabs>
        <w:rPr>
          <w:sz w:val="20"/>
          <w:szCs w:val="20"/>
          <w:color w:val="auto"/>
        </w:rPr>
      </w:pPr>
      <w:r>
        <w:rPr>
          <w:rFonts w:ascii="Times New Roman" w:cs="Times New Roman" w:eastAsia="Times New Roman" w:hAnsi="Times New Roman"/>
          <w:sz w:val="14"/>
          <w:szCs w:val="14"/>
          <w:color w:val="auto"/>
        </w:rPr>
        <w:t>Date: March 31,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George Stewart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109220</wp:posOffset>
            </wp:positionV>
            <wp:extent cx="3611245"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7">
                      <a:extLst>
                        <a:ext uri="{28A0092B-C50C-407E-A947-70E740481C1C}"/>
                      </a:extLst>
                    </a:blip>
                    <a:srcRect/>
                    <a:stretch>
                      <a:fillRect/>
                    </a:stretch>
                  </pic:blipFill>
                  <pic:spPr bwMode="auto">
                    <a:xfrm>
                      <a:off x="0" y="0"/>
                      <a:ext cx="3611245" cy="6985"/>
                    </a:xfrm>
                    <a:prstGeom prst="rect">
                      <a:avLst/>
                    </a:prstGeom>
                    <a:noFill/>
                  </pic:spPr>
                </pic:pic>
              </a:graphicData>
            </a:graphic>
          </wp:anchor>
        </w:drawing>
      </w:r>
    </w:p>
    <w:p>
      <w:pPr>
        <w:spacing w:after="0" w:line="17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b w:val="1"/>
          <w:bCs w:val="1"/>
          <w:color w:val="auto"/>
        </w:rPr>
        <w:t>George Stewart Hall</w:t>
      </w:r>
    </w:p>
    <w:p>
      <w:pPr>
        <w:spacing w:after="0" w:line="17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1141" w:right="31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 13a-14(a)/15d-14(a) Certification)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Roeland Smits, certify that:</w:t>
      </w:r>
    </w:p>
    <w:p>
      <w:pPr>
        <w:spacing w:after="0" w:line="94" w:lineRule="exact"/>
        <w:rPr>
          <w:sz w:val="20"/>
          <w:szCs w:val="20"/>
          <w:color w:val="auto"/>
        </w:rPr>
      </w:pPr>
    </w:p>
    <w:p>
      <w:pPr>
        <w:ind w:left="240" w:hanging="235"/>
        <w:spacing w:after="0"/>
        <w:tabs>
          <w:tab w:leader="none" w:pos="2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Public Policy Holding Company, Inc. for the year ended December 31, 2025;</w:t>
      </w:r>
    </w:p>
    <w:p>
      <w:pPr>
        <w:spacing w:after="0" w:line="93" w:lineRule="exact"/>
        <w:rPr>
          <w:rFonts w:ascii="Times New Roman" w:cs="Times New Roman" w:eastAsia="Times New Roman" w:hAnsi="Times New Roman"/>
          <w:sz w:val="14"/>
          <w:szCs w:val="14"/>
          <w:color w:val="auto"/>
        </w:rPr>
      </w:pPr>
    </w:p>
    <w:p>
      <w:pPr>
        <w:ind w:left="260" w:right="160" w:hanging="255"/>
        <w:spacing w:after="0" w:line="287" w:lineRule="auto"/>
        <w:tabs>
          <w:tab w:leader="none" w:pos="25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260" w:right="220" w:hanging="255"/>
        <w:spacing w:after="0" w:line="287" w:lineRule="auto"/>
        <w:tabs>
          <w:tab w:leader="none" w:pos="25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13"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39"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Intentionally omitted;</w:t>
      </w:r>
    </w:p>
    <w:p>
      <w:pPr>
        <w:spacing w:after="0" w:line="93" w:lineRule="exact"/>
        <w:rPr>
          <w:rFonts w:ascii="Times New Roman" w:cs="Times New Roman" w:eastAsia="Times New Roman" w:hAnsi="Times New Roman"/>
          <w:sz w:val="14"/>
          <w:szCs w:val="14"/>
          <w:color w:val="auto"/>
        </w:rPr>
      </w:pPr>
    </w:p>
    <w:p>
      <w:pPr>
        <w:ind w:left="520" w:right="680" w:hanging="260"/>
        <w:spacing w:after="0" w:line="287" w:lineRule="auto"/>
        <w:tabs>
          <w:tab w:leader="none" w:pos="51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520" w:right="320" w:hanging="260"/>
        <w:spacing w:after="0" w:line="287" w:lineRule="auto"/>
        <w:tabs>
          <w:tab w:leader="none" w:pos="513"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260" w:right="20" w:hanging="255"/>
        <w:spacing w:after="0" w:line="287" w:lineRule="auto"/>
        <w:tabs>
          <w:tab w:leader="none" w:pos="25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3"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48" w:lineRule="exact"/>
        <w:rPr>
          <w:sz w:val="20"/>
          <w:szCs w:val="20"/>
          <w:color w:val="auto"/>
        </w:rPr>
      </w:pPr>
    </w:p>
    <w:p>
      <w:pPr>
        <w:ind w:left="20"/>
        <w:spacing w:after="0"/>
        <w:tabs>
          <w:tab w:leader="none" w:pos="4680" w:val="left"/>
          <w:tab w:leader="none" w:pos="5440" w:val="left"/>
        </w:tabs>
        <w:rPr>
          <w:sz w:val="20"/>
          <w:szCs w:val="20"/>
          <w:color w:val="auto"/>
        </w:rPr>
      </w:pPr>
      <w:r>
        <w:rPr>
          <w:rFonts w:ascii="Times New Roman" w:cs="Times New Roman" w:eastAsia="Times New Roman" w:hAnsi="Times New Roman"/>
          <w:sz w:val="14"/>
          <w:szCs w:val="14"/>
          <w:color w:val="auto"/>
        </w:rPr>
        <w:t>Date: March 31,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Roeland Smits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109220</wp:posOffset>
            </wp:positionV>
            <wp:extent cx="3705225"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8">
                      <a:extLst>
                        <a:ext uri="{28A0092B-C50C-407E-A947-70E740481C1C}"/>
                      </a:extLst>
                    </a:blip>
                    <a:srcRect/>
                    <a:stretch>
                      <a:fillRect/>
                    </a:stretch>
                  </pic:blipFill>
                  <pic:spPr bwMode="auto">
                    <a:xfrm>
                      <a:off x="0" y="0"/>
                      <a:ext cx="3705225" cy="6985"/>
                    </a:xfrm>
                    <a:prstGeom prst="rect">
                      <a:avLst/>
                    </a:prstGeom>
                    <a:noFill/>
                  </pic:spPr>
                </pic:pic>
              </a:graphicData>
            </a:graphic>
          </wp:anchor>
        </w:drawing>
      </w:r>
    </w:p>
    <w:p>
      <w:pPr>
        <w:spacing w:after="0" w:line="17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b w:val="1"/>
          <w:bCs w:val="1"/>
          <w:color w:val="auto"/>
        </w:rPr>
        <w:t>Roeland Smits</w:t>
      </w:r>
    </w:p>
    <w:p>
      <w:pPr>
        <w:spacing w:after="0" w:line="17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(Principal Accounting Officer)</w:t>
      </w:r>
    </w:p>
    <w:p>
      <w:pPr>
        <w:sectPr>
          <w:pgSz w:w="11900" w:h="16838" w:orient="portrait"/>
          <w:cols w:equalWidth="0" w:num="1">
            <w:col w:w="11280"/>
          </w:cols>
          <w:pgMar w:left="300" w:top="1141" w:right="31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1350 Certification)</w:t>
      </w:r>
    </w:p>
    <w:p>
      <w:pPr>
        <w:spacing w:after="0" w:line="164" w:lineRule="exact"/>
        <w:rPr>
          <w:sz w:val="20"/>
          <w:szCs w:val="20"/>
          <w:color w:val="auto"/>
        </w:rPr>
      </w:pPr>
    </w:p>
    <w:p>
      <w:pPr>
        <w:jc w:val="both"/>
        <w:ind w:right="120" w:firstLine="393"/>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of Public Policy Holding Company, Inc. (the “Company”) for the year ended December 31, 2025 (the “Annual Report”), and pursuant to 18 U.S.C. Section 1350, as adopted pursuant to Section 906 of the Sarbanes-Oxley Act of 2002, the undersigned, George Stewart Hall, Chief Executive Officer of the Company, certifies, to the best of his knowledge, that:</w:t>
      </w:r>
    </w:p>
    <w:p>
      <w:pPr>
        <w:spacing w:after="0" w:line="157" w:lineRule="exact"/>
        <w:rPr>
          <w:sz w:val="20"/>
          <w:szCs w:val="20"/>
          <w:color w:val="auto"/>
        </w:rPr>
      </w:pPr>
    </w:p>
    <w:p>
      <w:pPr>
        <w:ind w:left="500" w:hanging="240"/>
        <w:spacing w:after="0"/>
        <w:tabs>
          <w:tab w:leader="none" w:pos="5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Report fully complies with the requirements of Section 13(a) or 15(d) of the Securities Exchange Act of 1934, as amended (the “Exchange Act”); and</w:t>
      </w:r>
    </w:p>
    <w:p>
      <w:pPr>
        <w:spacing w:after="0" w:line="199"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Annual Report fairly presents, in all material respects, the financial condition and results of operations of the Company.</w:t>
      </w:r>
    </w:p>
    <w:p>
      <w:pPr>
        <w:spacing w:after="0" w:line="263" w:lineRule="exact"/>
        <w:rPr>
          <w:sz w:val="20"/>
          <w:szCs w:val="20"/>
          <w:color w:val="auto"/>
        </w:rPr>
      </w:pPr>
    </w:p>
    <w:p>
      <w:pPr>
        <w:ind w:left="20"/>
        <w:spacing w:after="0"/>
        <w:tabs>
          <w:tab w:leader="none" w:pos="4820" w:val="left"/>
          <w:tab w:leader="none" w:pos="5540" w:val="left"/>
        </w:tabs>
        <w:rPr>
          <w:sz w:val="20"/>
          <w:szCs w:val="20"/>
          <w:color w:val="auto"/>
        </w:rPr>
      </w:pPr>
      <w:r>
        <w:rPr>
          <w:rFonts w:ascii="Times New Roman" w:cs="Times New Roman" w:eastAsia="Times New Roman" w:hAnsi="Times New Roman"/>
          <w:sz w:val="14"/>
          <w:szCs w:val="14"/>
          <w:color w:val="auto"/>
        </w:rPr>
        <w:t>Date: March [ ],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George Stewart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109220</wp:posOffset>
            </wp:positionV>
            <wp:extent cx="363791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9">
                      <a:extLst>
                        <a:ext uri="{28A0092B-C50C-407E-A947-70E740481C1C}"/>
                      </a:extLst>
                    </a:blip>
                    <a:srcRect/>
                    <a:stretch>
                      <a:fillRect/>
                    </a:stretch>
                  </pic:blipFill>
                  <pic:spPr bwMode="auto">
                    <a:xfrm>
                      <a:off x="0" y="0"/>
                      <a:ext cx="3637915" cy="6985"/>
                    </a:xfrm>
                    <a:prstGeom prst="rect">
                      <a:avLst/>
                    </a:prstGeom>
                    <a:noFill/>
                  </pic:spPr>
                </pic:pic>
              </a:graphicData>
            </a:graphic>
          </wp:anchor>
        </w:drawing>
      </w:r>
    </w:p>
    <w:p>
      <w:pPr>
        <w:spacing w:after="0" w:line="17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b w:val="1"/>
          <w:bCs w:val="1"/>
          <w:color w:val="auto"/>
        </w:rPr>
        <w:t>George Stewart Hall</w:t>
      </w:r>
    </w:p>
    <w:p>
      <w:pPr>
        <w:spacing w:after="0" w:line="17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2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200" w:lineRule="exact"/>
        <w:rPr>
          <w:sz w:val="20"/>
          <w:szCs w:val="20"/>
          <w:color w:val="auto"/>
        </w:rPr>
      </w:pPr>
    </w:p>
    <w:p>
      <w:pPr>
        <w:spacing w:after="0" w:line="230"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foregoing certification is being furnished solely to accompany the Annual Report pursuant to 18 U.S.C. Section 1350, and is not being filed for purposes of Section 18 of the Exchange Act,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80"/>
          </w:cols>
          <w:pgMar w:left="300" w:top="1141" w:right="31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1350 Certification)</w:t>
      </w:r>
    </w:p>
    <w:p>
      <w:pPr>
        <w:spacing w:after="0" w:line="164" w:lineRule="exact"/>
        <w:rPr>
          <w:sz w:val="20"/>
          <w:szCs w:val="20"/>
          <w:color w:val="auto"/>
        </w:rPr>
      </w:pPr>
    </w:p>
    <w:p>
      <w:pPr>
        <w:jc w:val="both"/>
        <w:ind w:right="120" w:firstLine="393"/>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of Public Policy Holding Company, Inc. (the “Company”) for the year ended December 31, 2025 (the “Annual Report”), and pursuant to 18 U.S.C. Section 1350, as adopted pursuant to Section 906 of the Sarbanes-Oxley Act of 2002, the undersigned, Roeland Smits, Chief Financial Officer of the Company, certifies, to the best of his knowledge, that:</w:t>
      </w:r>
    </w:p>
    <w:p>
      <w:pPr>
        <w:spacing w:after="0" w:line="157" w:lineRule="exact"/>
        <w:rPr>
          <w:sz w:val="20"/>
          <w:szCs w:val="20"/>
          <w:color w:val="auto"/>
        </w:rPr>
      </w:pPr>
    </w:p>
    <w:p>
      <w:pPr>
        <w:ind w:left="500" w:hanging="240"/>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Report fully complies with the requirements of Section 13(a) or 15(d) of the Securities Exchange Act of 1934, as amended (the “Exchange Act”); and</w:t>
      </w:r>
    </w:p>
    <w:p>
      <w:pPr>
        <w:spacing w:after="0" w:line="199"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Annual Report fairly presents, in all material respects, the financial condition and results of operations of the Company.</w:t>
      </w:r>
    </w:p>
    <w:p>
      <w:pPr>
        <w:spacing w:after="0" w:line="263" w:lineRule="exact"/>
        <w:rPr>
          <w:sz w:val="20"/>
          <w:szCs w:val="20"/>
          <w:color w:val="auto"/>
        </w:rPr>
      </w:pPr>
    </w:p>
    <w:p>
      <w:pPr>
        <w:ind w:left="20"/>
        <w:spacing w:after="0"/>
        <w:tabs>
          <w:tab w:leader="none" w:pos="4680" w:val="left"/>
          <w:tab w:leader="none" w:pos="5400" w:val="left"/>
        </w:tabs>
        <w:rPr>
          <w:sz w:val="20"/>
          <w:szCs w:val="20"/>
          <w:color w:val="auto"/>
        </w:rPr>
      </w:pPr>
      <w:r>
        <w:rPr>
          <w:rFonts w:ascii="Times New Roman" w:cs="Times New Roman" w:eastAsia="Times New Roman" w:hAnsi="Times New Roman"/>
          <w:sz w:val="14"/>
          <w:szCs w:val="14"/>
          <w:color w:val="auto"/>
        </w:rPr>
        <w:t>Date: March [ ],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Roeland Smits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109220</wp:posOffset>
            </wp:positionV>
            <wp:extent cx="373253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0">
                      <a:extLst>
                        <a:ext uri="{28A0092B-C50C-407E-A947-70E740481C1C}"/>
                      </a:extLst>
                    </a:blip>
                    <a:srcRect/>
                    <a:stretch>
                      <a:fillRect/>
                    </a:stretch>
                  </pic:blipFill>
                  <pic:spPr bwMode="auto">
                    <a:xfrm>
                      <a:off x="0" y="0"/>
                      <a:ext cx="3732530" cy="6985"/>
                    </a:xfrm>
                    <a:prstGeom prst="rect">
                      <a:avLst/>
                    </a:prstGeom>
                    <a:noFill/>
                  </pic:spPr>
                </pic:pic>
              </a:graphicData>
            </a:graphic>
          </wp:anchor>
        </w:drawing>
      </w:r>
    </w:p>
    <w:p>
      <w:pPr>
        <w:spacing w:after="0" w:line="17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b w:val="1"/>
          <w:bCs w:val="1"/>
          <w:color w:val="auto"/>
        </w:rPr>
        <w:t>Roeland Smits</w:t>
      </w:r>
    </w:p>
    <w:p>
      <w:pPr>
        <w:spacing w:after="0" w:line="17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color w:val="auto"/>
        </w:rPr>
        <w:t>(Principal Accounting Officer)</w:t>
      </w:r>
    </w:p>
    <w:p>
      <w:pPr>
        <w:spacing w:after="0" w:line="200" w:lineRule="exact"/>
        <w:rPr>
          <w:sz w:val="20"/>
          <w:szCs w:val="20"/>
          <w:color w:val="auto"/>
        </w:rPr>
      </w:pPr>
    </w:p>
    <w:p>
      <w:pPr>
        <w:spacing w:after="0" w:line="230"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foregoing certification is being furnished solely to accompany the Annual Report pursuant to 18 U.S.C. Section 1350, and is not being filed for purposes of Section 18 of the Exchange Act,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80"/>
          </w:cols>
          <w:pgMar w:left="300" w:top="1141" w:right="31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Last updated September 29,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PUBLIC POLICY HOLDING COMPANY, INC.</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CLAWBACK POLICY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Adopted by the Board: September 29, 2025</w:t>
      </w:r>
    </w:p>
    <w:p>
      <w:pPr>
        <w:spacing w:after="0" w:line="353" w:lineRule="exact"/>
        <w:rPr>
          <w:sz w:val="20"/>
          <w:szCs w:val="20"/>
          <w:color w:val="auto"/>
        </w:rPr>
      </w:pPr>
    </w:p>
    <w:p>
      <w:pPr>
        <w:jc w:val="both"/>
        <w:ind w:left="520" w:hanging="515"/>
        <w:spacing w:after="0" w:line="224" w:lineRule="auto"/>
        <w:tabs>
          <w:tab w:leader="none" w:pos="520" w:val="left"/>
        </w:tabs>
        <w:numPr>
          <w:ilvl w:val="0"/>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b w:val="1"/>
          <w:bCs w:val="1"/>
          <w:u w:val="single" w:color="auto"/>
          <w:color w:val="auto"/>
        </w:rPr>
        <w:t>Purpose</w:t>
      </w:r>
      <w:r>
        <w:rPr>
          <w:rFonts w:ascii="Times New Roman" w:cs="Times New Roman" w:eastAsia="Times New Roman" w:hAnsi="Times New Roman"/>
          <w:sz w:val="17"/>
          <w:szCs w:val="17"/>
          <w:color w:val="auto"/>
        </w:rPr>
        <w:t>. The Board believes that it is in the best interests of the Company and its stockholders to create and maintain a culture that emphasizes integrity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accountability and that reinforces the Company’s pay-for-performance compensation philosophy. The Board has, therefore, adopted this Policy, which provides for the recoupment of certain executive compensation in the event of an Accounting Restatement and is designed to comply with, and will be interpreted to be consistent with, the Applicable Rules.</w:t>
      </w:r>
    </w:p>
    <w:p>
      <w:pPr>
        <w:spacing w:after="0" w:line="118" w:lineRule="exact"/>
        <w:rPr>
          <w:rFonts w:ascii="Times New Roman" w:cs="Times New Roman" w:eastAsia="Times New Roman" w:hAnsi="Times New Roman"/>
          <w:sz w:val="16"/>
          <w:szCs w:val="16"/>
          <w:b w:val="1"/>
          <w:bCs w:val="1"/>
          <w:color w:val="auto"/>
        </w:rPr>
      </w:pPr>
    </w:p>
    <w:p>
      <w:pPr>
        <w:ind w:left="520" w:hanging="515"/>
        <w:spacing w:after="0"/>
        <w:tabs>
          <w:tab w:leader="none" w:pos="520" w:val="left"/>
        </w:tabs>
        <w:numPr>
          <w:ilvl w:val="0"/>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b w:val="1"/>
          <w:bCs w:val="1"/>
          <w:u w:val="single" w:color="auto"/>
          <w:color w:val="auto"/>
        </w:rPr>
        <w:t>Definitions</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6"/>
          <w:szCs w:val="16"/>
          <w:b w:val="1"/>
          <w:bCs w:val="1"/>
          <w:color w:val="auto"/>
        </w:rPr>
      </w:pPr>
    </w:p>
    <w:p>
      <w:pPr>
        <w:jc w:val="both"/>
        <w:ind w:left="1020" w:hanging="506"/>
        <w:spacing w:after="0" w:line="224" w:lineRule="auto"/>
        <w:tabs>
          <w:tab w:leader="none" w:pos="1020" w:val="left"/>
        </w:tabs>
        <w:numPr>
          <w:ilvl w:val="1"/>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Accounting Restatement</w:t>
      </w:r>
      <w:r>
        <w:rPr>
          <w:rFonts w:ascii="Times New Roman" w:cs="Times New Roman" w:eastAsia="Times New Roman" w:hAnsi="Times New Roman"/>
          <w:sz w:val="17"/>
          <w:szCs w:val="17"/>
          <w:color w:val="auto"/>
        </w:rPr>
        <w:t>” means an accounting restatement by the Company due to the Company’s material noncompliance with any financial reporting requirement under the securities laws, including any required restatement to correct an error in the Company’s previously issued financial statements (i) that is material to the previously issued financial statements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 “Big R” restatement), or (ii) that would result in a material misstatement if the error were corrected in the current period or left uncorrected in the current period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 “little r” restatement).</w:t>
      </w:r>
    </w:p>
    <w:p>
      <w:pPr>
        <w:spacing w:after="0" w:line="118" w:lineRule="exact"/>
        <w:rPr>
          <w:rFonts w:ascii="Times New Roman" w:cs="Times New Roman" w:eastAsia="Times New Roman" w:hAnsi="Times New Roman"/>
          <w:sz w:val="16"/>
          <w:szCs w:val="16"/>
          <w:b w:val="1"/>
          <w:bCs w:val="1"/>
          <w:color w:val="auto"/>
        </w:rPr>
      </w:pPr>
    </w:p>
    <w:p>
      <w:pPr>
        <w:jc w:val="both"/>
        <w:ind w:left="1020" w:hanging="506"/>
        <w:spacing w:after="0" w:line="224" w:lineRule="auto"/>
        <w:tabs>
          <w:tab w:leader="none" w:pos="1018" w:val="left"/>
        </w:tabs>
        <w:numPr>
          <w:ilvl w:val="1"/>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Accounting Restatement Date</w:t>
      </w:r>
      <w:r>
        <w:rPr>
          <w:rFonts w:ascii="Times New Roman" w:cs="Times New Roman" w:eastAsia="Times New Roman" w:hAnsi="Times New Roman"/>
          <w:sz w:val="17"/>
          <w:szCs w:val="17"/>
          <w:color w:val="auto"/>
        </w:rPr>
        <w:t>” means the earlier to occur of (i) the date on which the Board, or the officers of the Company authorized to take action if Board action is not required, concludes, or reasonably should have concluded, that the Company is required to prepare an Accounting Restatement and (ii) the date on which any court, regulator, or other legally authorized body directs the Company to prepare an Accounting Restatement, in either case, regardless of whether or when the restated financial statements are filed with the SEC.</w:t>
      </w:r>
    </w:p>
    <w:p>
      <w:pPr>
        <w:spacing w:after="0" w:line="118" w:lineRule="exact"/>
        <w:rPr>
          <w:rFonts w:ascii="Times New Roman" w:cs="Times New Roman" w:eastAsia="Times New Roman" w:hAnsi="Times New Roman"/>
          <w:sz w:val="16"/>
          <w:szCs w:val="16"/>
          <w:b w:val="1"/>
          <w:bCs w:val="1"/>
          <w:color w:val="auto"/>
        </w:rPr>
      </w:pPr>
    </w:p>
    <w:p>
      <w:pPr>
        <w:ind w:left="1020" w:hanging="506"/>
        <w:spacing w:after="0" w:line="242" w:lineRule="auto"/>
        <w:tabs>
          <w:tab w:leader="none" w:pos="1011" w:val="left"/>
        </w:tabs>
        <w:numPr>
          <w:ilvl w:val="1"/>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Applicable Rules</w:t>
      </w:r>
      <w:r>
        <w:rPr>
          <w:rFonts w:ascii="Times New Roman" w:cs="Times New Roman" w:eastAsia="Times New Roman" w:hAnsi="Times New Roman"/>
          <w:sz w:val="17"/>
          <w:szCs w:val="17"/>
          <w:color w:val="auto"/>
        </w:rPr>
        <w:t>” means Section 10D of the Exchange Act, Rule 10D-1 promulgated under the Exchange Act, and Nasdaq Listing Rule 5608, in each case, as amended from time to time.</w:t>
      </w:r>
    </w:p>
    <w:p>
      <w:pPr>
        <w:spacing w:after="0" w:line="115" w:lineRule="exact"/>
        <w:rPr>
          <w:rFonts w:ascii="Times New Roman" w:cs="Times New Roman" w:eastAsia="Times New Roman" w:hAnsi="Times New Roman"/>
          <w:sz w:val="16"/>
          <w:szCs w:val="16"/>
          <w:b w:val="1"/>
          <w:bCs w:val="1"/>
          <w:color w:val="auto"/>
        </w:rPr>
      </w:pPr>
    </w:p>
    <w:p>
      <w:pPr>
        <w:ind w:left="1020" w:hanging="506"/>
        <w:spacing w:after="0"/>
        <w:tabs>
          <w:tab w:leader="none" w:pos="1020" w:val="left"/>
        </w:tabs>
        <w:numPr>
          <w:ilvl w:val="1"/>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means the Board of Directors of the Company.</w:t>
      </w:r>
    </w:p>
    <w:p>
      <w:pPr>
        <w:spacing w:after="0" w:line="144" w:lineRule="exact"/>
        <w:rPr>
          <w:rFonts w:ascii="Times New Roman" w:cs="Times New Roman" w:eastAsia="Times New Roman" w:hAnsi="Times New Roman"/>
          <w:sz w:val="16"/>
          <w:szCs w:val="16"/>
          <w:b w:val="1"/>
          <w:bCs w:val="1"/>
          <w:color w:val="auto"/>
        </w:rPr>
      </w:pPr>
    </w:p>
    <w:p>
      <w:pPr>
        <w:jc w:val="both"/>
        <w:ind w:left="1020" w:hanging="506"/>
        <w:spacing w:after="0" w:line="230" w:lineRule="auto"/>
        <w:tabs>
          <w:tab w:leader="none" w:pos="1011" w:val="left"/>
        </w:tabs>
        <w:numPr>
          <w:ilvl w:val="1"/>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Clawback Period</w:t>
      </w:r>
      <w:r>
        <w:rPr>
          <w:rFonts w:ascii="Times New Roman" w:cs="Times New Roman" w:eastAsia="Times New Roman" w:hAnsi="Times New Roman"/>
          <w:sz w:val="17"/>
          <w:szCs w:val="17"/>
          <w:color w:val="auto"/>
        </w:rPr>
        <w:t xml:space="preserve">” means the three completed fiscal years immediately preceding the Accounting Restatement Date as well as any transition period that results from a change in the Company’s fiscal year within or immediately following those three completed fiscal years;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 transition period lasting nine months or longer will count as a completed fiscal year for purposes determining the Clawback Period.</w:t>
      </w:r>
    </w:p>
    <w:p>
      <w:pPr>
        <w:spacing w:after="0" w:line="117" w:lineRule="exact"/>
        <w:rPr>
          <w:rFonts w:ascii="Times New Roman" w:cs="Times New Roman" w:eastAsia="Times New Roman" w:hAnsi="Times New Roman"/>
          <w:sz w:val="16"/>
          <w:szCs w:val="16"/>
          <w:b w:val="1"/>
          <w:bCs w:val="1"/>
          <w:color w:val="auto"/>
        </w:rPr>
      </w:pPr>
    </w:p>
    <w:p>
      <w:pPr>
        <w:ind w:left="1020" w:hanging="506"/>
        <w:spacing w:after="0"/>
        <w:tabs>
          <w:tab w:leader="none" w:pos="1020" w:val="left"/>
        </w:tabs>
        <w:numPr>
          <w:ilvl w:val="1"/>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Internal Revenue Code of 1986, as amended, and the regulations promulgated thereunder.</w:t>
      </w:r>
    </w:p>
    <w:p>
      <w:pPr>
        <w:spacing w:after="0" w:line="144" w:lineRule="exact"/>
        <w:rPr>
          <w:rFonts w:ascii="Times New Roman" w:cs="Times New Roman" w:eastAsia="Times New Roman" w:hAnsi="Times New Roman"/>
          <w:sz w:val="16"/>
          <w:szCs w:val="16"/>
          <w:b w:val="1"/>
          <w:bCs w:val="1"/>
          <w:color w:val="auto"/>
        </w:rPr>
      </w:pPr>
    </w:p>
    <w:p>
      <w:pPr>
        <w:ind w:left="1020" w:hanging="506"/>
        <w:spacing w:after="0"/>
        <w:tabs>
          <w:tab w:leader="none" w:pos="1020" w:val="left"/>
        </w:tabs>
        <w:numPr>
          <w:ilvl w:val="1"/>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means the Compensation Committee of the Board.</w:t>
      </w:r>
    </w:p>
    <w:p>
      <w:pPr>
        <w:sectPr>
          <w:pgSz w:w="11900" w:h="16838" w:orient="portrait"/>
          <w:cols w:equalWidth="0" w:num="1">
            <w:col w:w="11280"/>
          </w:cols>
          <w:pgMar w:left="300" w:top="125" w:right="319" w:bottom="1440" w:gutter="0" w:footer="0" w:header="0"/>
        </w:sectPr>
      </w:pPr>
    </w:p>
    <w:bookmarkStart w:id="236" w:name="page237"/>
    <w:bookmarkEnd w:id="236"/>
    <w:p>
      <w:pPr>
        <w:ind w:left="880" w:hanging="506"/>
        <w:spacing w:after="0"/>
        <w:tabs>
          <w:tab w:leader="none" w:pos="880" w:val="left"/>
        </w:tabs>
        <w:numPr>
          <w:ilvl w:val="0"/>
          <w:numId w:val="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means Public Policy Holding Company, Inc., a Delaware Corporation.</w:t>
      </w:r>
    </w:p>
    <w:p>
      <w:pPr>
        <w:spacing w:after="0" w:line="144" w:lineRule="exact"/>
        <w:rPr>
          <w:rFonts w:ascii="Times New Roman" w:cs="Times New Roman" w:eastAsia="Times New Roman" w:hAnsi="Times New Roman"/>
          <w:sz w:val="16"/>
          <w:szCs w:val="16"/>
          <w:b w:val="1"/>
          <w:bCs w:val="1"/>
          <w:color w:val="auto"/>
        </w:rPr>
      </w:pPr>
    </w:p>
    <w:p>
      <w:pPr>
        <w:ind w:left="880" w:hanging="506"/>
        <w:spacing w:after="0"/>
        <w:tabs>
          <w:tab w:leader="none" w:pos="880" w:val="left"/>
        </w:tabs>
        <w:numPr>
          <w:ilvl w:val="0"/>
          <w:numId w:val="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Group</w:t>
      </w:r>
      <w:r>
        <w:rPr>
          <w:rFonts w:ascii="Times New Roman" w:cs="Times New Roman" w:eastAsia="Times New Roman" w:hAnsi="Times New Roman"/>
          <w:sz w:val="17"/>
          <w:szCs w:val="17"/>
          <w:color w:val="auto"/>
        </w:rPr>
        <w:t>” means the Company and each of its direct and indirect subsidiaries.</w:t>
      </w:r>
    </w:p>
    <w:p>
      <w:pPr>
        <w:spacing w:after="0" w:line="144" w:lineRule="exact"/>
        <w:rPr>
          <w:rFonts w:ascii="Times New Roman" w:cs="Times New Roman" w:eastAsia="Times New Roman" w:hAnsi="Times New Roman"/>
          <w:sz w:val="16"/>
          <w:szCs w:val="16"/>
          <w:b w:val="1"/>
          <w:bCs w:val="1"/>
          <w:color w:val="auto"/>
        </w:rPr>
      </w:pPr>
    </w:p>
    <w:p>
      <w:pPr>
        <w:jc w:val="both"/>
        <w:ind w:left="880" w:hanging="506"/>
        <w:spacing w:after="0" w:line="217" w:lineRule="auto"/>
        <w:tabs>
          <w:tab w:leader="none" w:pos="875" w:val="left"/>
        </w:tabs>
        <w:numPr>
          <w:ilvl w:val="0"/>
          <w:numId w:val="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Covered Executives</w:t>
      </w:r>
      <w:r>
        <w:rPr>
          <w:rFonts w:ascii="Times New Roman" w:cs="Times New Roman" w:eastAsia="Times New Roman" w:hAnsi="Times New Roman"/>
          <w:sz w:val="17"/>
          <w:szCs w:val="17"/>
          <w:color w:val="auto"/>
        </w:rPr>
        <w:t>” means the Company’s chairman, chief executive officer, chief financial officer, and principal accounting officer (or, if there is no such accounting officer, the controller), any vice-president of the Company in charge of a principal business unit, division, or function (such as sales, administration, or finance), any other officer of the Company who performs a policy-making function, and any other person who performs similar policy-making functions for the Company. An executive officer of the Company’s parent(s) or subsidiaries is deemed to be a Covered Executive if the executive officer performs policy-making functions for the Company. For purposes of this definition, policy-making functions are not intended to include policy-making functions that are not significant, and identification of a Covered Executive for purposes of this definition would include the minimum executive officers identified pursuant to Item 401(b) of Regulation S-K.</w:t>
      </w:r>
    </w:p>
    <w:p>
      <w:pPr>
        <w:spacing w:after="0" w:line="120" w:lineRule="exact"/>
        <w:rPr>
          <w:rFonts w:ascii="Times New Roman" w:cs="Times New Roman" w:eastAsia="Times New Roman" w:hAnsi="Times New Roman"/>
          <w:sz w:val="16"/>
          <w:szCs w:val="16"/>
          <w:b w:val="1"/>
          <w:bCs w:val="1"/>
          <w:color w:val="auto"/>
        </w:rPr>
      </w:pPr>
    </w:p>
    <w:p>
      <w:pPr>
        <w:ind w:left="880" w:hanging="506"/>
        <w:spacing w:after="0"/>
        <w:tabs>
          <w:tab w:leader="none" w:pos="880" w:val="left"/>
        </w:tabs>
        <w:numPr>
          <w:ilvl w:val="0"/>
          <w:numId w:val="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means [•].</w:t>
      </w:r>
    </w:p>
    <w:p>
      <w:pPr>
        <w:spacing w:after="0" w:line="144" w:lineRule="exact"/>
        <w:rPr>
          <w:rFonts w:ascii="Times New Roman" w:cs="Times New Roman" w:eastAsia="Times New Roman" w:hAnsi="Times New Roman"/>
          <w:sz w:val="16"/>
          <w:szCs w:val="16"/>
          <w:b w:val="1"/>
          <w:bCs w:val="1"/>
          <w:color w:val="auto"/>
        </w:rPr>
      </w:pPr>
    </w:p>
    <w:p>
      <w:pPr>
        <w:jc w:val="both"/>
        <w:ind w:left="880" w:hanging="506"/>
        <w:spacing w:after="0" w:line="213" w:lineRule="auto"/>
        <w:tabs>
          <w:tab w:leader="none" w:pos="877" w:val="left"/>
        </w:tabs>
        <w:numPr>
          <w:ilvl w:val="0"/>
          <w:numId w:val="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Erroneously Awarded Compensation</w:t>
      </w:r>
      <w:r>
        <w:rPr>
          <w:rFonts w:ascii="Times New Roman" w:cs="Times New Roman" w:eastAsia="Times New Roman" w:hAnsi="Times New Roman"/>
          <w:sz w:val="17"/>
          <w:szCs w:val="17"/>
          <w:color w:val="auto"/>
        </w:rPr>
        <w:t xml:space="preserve">” means, in the event of an Accounting Restatement, the amount of Incentive-Based Compensation Received by a Covered Executive that exceeds the amount of Incentive-Based Compensation that otherwise would have been Received by such Covered Executive had it been determined based on the restated amounts in such Accounting Restatement, as determined in the sole discretion of the Board based on all applicable facts and circumstances (including, without limitation, the time value of money, the gross amount of dividends or other distributions received by the Covered Executive in respect of the Incentive-Based Compensation, and any gain realized by the Covered Executive upon the subsequent disposition of any property received in connection with any Incentive-Based Compensation);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 the amount of Erroneously Awarded Compensation must be computed without regard to any taxes paid by such Covered Executive; and (ii) for Incentive-Based Compensation Received by a Covered Executive based on stock price or total stockholder return, where the amount of Erroneously Awarded Compensation is not subject to mathematical recalculation directly from the information in the Accounting Restatement, (A) the amount of Erroneously Awarded Compensation must be based on a reasonable estimate of the effect of the Accounting Restatement on the stock price or total stockholder return upon which the Incentive-Based Compensation was Received, and (B) the Company must maintain documentation of the determination of that reasonable estimate and provide such documentation to the Stock Exchange.</w:t>
      </w:r>
    </w:p>
    <w:p>
      <w:pPr>
        <w:spacing w:after="0" w:line="124" w:lineRule="exact"/>
        <w:rPr>
          <w:rFonts w:ascii="Times New Roman" w:cs="Times New Roman" w:eastAsia="Times New Roman" w:hAnsi="Times New Roman"/>
          <w:sz w:val="16"/>
          <w:szCs w:val="16"/>
          <w:b w:val="1"/>
          <w:bCs w:val="1"/>
          <w:color w:val="auto"/>
        </w:rPr>
      </w:pPr>
    </w:p>
    <w:p>
      <w:pPr>
        <w:ind w:left="880" w:hanging="506"/>
        <w:spacing w:after="0"/>
        <w:tabs>
          <w:tab w:leader="none" w:pos="880" w:val="left"/>
        </w:tabs>
        <w:numPr>
          <w:ilvl w:val="0"/>
          <w:numId w:val="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Securities Exchange Act of 1934, as amended.</w:t>
      </w:r>
    </w:p>
    <w:p>
      <w:pPr>
        <w:spacing w:after="0" w:line="144" w:lineRule="exact"/>
        <w:rPr>
          <w:rFonts w:ascii="Times New Roman" w:cs="Times New Roman" w:eastAsia="Times New Roman" w:hAnsi="Times New Roman"/>
          <w:sz w:val="16"/>
          <w:szCs w:val="16"/>
          <w:b w:val="1"/>
          <w:bCs w:val="1"/>
          <w:color w:val="auto"/>
        </w:rPr>
      </w:pPr>
    </w:p>
    <w:p>
      <w:pPr>
        <w:jc w:val="both"/>
        <w:ind w:left="880" w:hanging="506"/>
        <w:spacing w:after="0" w:line="224" w:lineRule="auto"/>
        <w:tabs>
          <w:tab w:leader="none" w:pos="878" w:val="left"/>
        </w:tabs>
        <w:numPr>
          <w:ilvl w:val="0"/>
          <w:numId w:val="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Financial Reporting Measures</w:t>
      </w:r>
      <w:r>
        <w:rPr>
          <w:rFonts w:ascii="Times New Roman" w:cs="Times New Roman" w:eastAsia="Times New Roman" w:hAnsi="Times New Roman"/>
          <w:sz w:val="17"/>
          <w:szCs w:val="17"/>
          <w:color w:val="auto"/>
        </w:rPr>
        <w:t>” means any measures that are determined and presented in accordance with the accounting principles used in the Company’s financial statements, and any measures that are derived wholly or in part from such measures. Stock price and total stockholder return are also Financial Reporting Measures. A Financial Reporting Measure need not be presented within the Company’s financial statements or included in a filing with the SEC to be considered a Financial Reporting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1140"/>
          </w:cols>
          <w:pgMar w:left="440" w:top="1123" w:right="319" w:bottom="1440" w:gutter="0" w:footer="0" w:header="0"/>
        </w:sectPr>
      </w:pPr>
    </w:p>
    <w:bookmarkStart w:id="237" w:name="page238"/>
    <w:bookmarkEnd w:id="237"/>
    <w:p>
      <w:pPr>
        <w:ind w:left="1015" w:hanging="506"/>
        <w:spacing w:after="0" w:line="242" w:lineRule="auto"/>
        <w:tabs>
          <w:tab w:leader="none" w:pos="1015" w:val="left"/>
        </w:tabs>
        <w:numPr>
          <w:ilvl w:val="1"/>
          <w:numId w:val="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Incentive-Based Compensation</w:t>
      </w:r>
      <w:r>
        <w:rPr>
          <w:rFonts w:ascii="Times New Roman" w:cs="Times New Roman" w:eastAsia="Times New Roman" w:hAnsi="Times New Roman"/>
          <w:sz w:val="17"/>
          <w:szCs w:val="17"/>
          <w:color w:val="auto"/>
        </w:rPr>
        <w:t>” means any compensation that is granted, earned, or vested based wholly or in part upon the attainment of a Financial Reporting Measure.</w:t>
      </w:r>
    </w:p>
    <w:p>
      <w:pPr>
        <w:spacing w:after="0" w:line="115" w:lineRule="exact"/>
        <w:rPr>
          <w:rFonts w:ascii="Times New Roman" w:cs="Times New Roman" w:eastAsia="Times New Roman" w:hAnsi="Times New Roman"/>
          <w:sz w:val="16"/>
          <w:szCs w:val="16"/>
          <w:b w:val="1"/>
          <w:bCs w:val="1"/>
          <w:color w:val="auto"/>
        </w:rPr>
      </w:pPr>
    </w:p>
    <w:p>
      <w:pPr>
        <w:ind w:left="1015" w:hanging="506"/>
        <w:spacing w:after="0"/>
        <w:tabs>
          <w:tab w:leader="none" w:pos="1015" w:val="left"/>
        </w:tabs>
        <w:numPr>
          <w:ilvl w:val="1"/>
          <w:numId w:val="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Policy</w:t>
      </w:r>
      <w:r>
        <w:rPr>
          <w:rFonts w:ascii="Times New Roman" w:cs="Times New Roman" w:eastAsia="Times New Roman" w:hAnsi="Times New Roman"/>
          <w:sz w:val="17"/>
          <w:szCs w:val="17"/>
          <w:color w:val="auto"/>
        </w:rPr>
        <w:t>” means this Clawback Policy, as it may be amended, restated, supplemented, or otherwise modified from time to time.</w:t>
      </w:r>
    </w:p>
    <w:p>
      <w:pPr>
        <w:spacing w:after="0" w:line="144" w:lineRule="exact"/>
        <w:rPr>
          <w:rFonts w:ascii="Times New Roman" w:cs="Times New Roman" w:eastAsia="Times New Roman" w:hAnsi="Times New Roman"/>
          <w:sz w:val="16"/>
          <w:szCs w:val="16"/>
          <w:b w:val="1"/>
          <w:bCs w:val="1"/>
          <w:color w:val="auto"/>
        </w:rPr>
      </w:pPr>
    </w:p>
    <w:p>
      <w:pPr>
        <w:jc w:val="both"/>
        <w:ind w:left="1015" w:hanging="506"/>
        <w:spacing w:after="0" w:line="221" w:lineRule="auto"/>
        <w:tabs>
          <w:tab w:leader="none" w:pos="1013" w:val="left"/>
        </w:tabs>
        <w:numPr>
          <w:ilvl w:val="1"/>
          <w:numId w:val="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Received</w:t>
      </w:r>
      <w:r>
        <w:rPr>
          <w:rFonts w:ascii="Times New Roman" w:cs="Times New Roman" w:eastAsia="Times New Roman" w:hAnsi="Times New Roman"/>
          <w:sz w:val="17"/>
          <w:szCs w:val="17"/>
          <w:color w:val="auto"/>
        </w:rPr>
        <w:t>” means, with respect to Incentive-Based Compensation, actual or deemed receipt of such compensation, and Incentive-Based Compensation will be deemed Received by a Covered Executive in the Company’s fiscal period during which the Financial Reporting Measure specified in the Incentive-Based Compensation award is attained, even if the payment or grant of such Incentive-Based Compensation occurs after the end of that period. For the avoidance of doubt, Incentive-Based Compensation that is subject to deferral pursuant to a deferred compensation plan of the Company Group will be deemed Received by the Covered Executive for purposes of this Policy as of the date of deferral.</w:t>
      </w:r>
    </w:p>
    <w:p>
      <w:pPr>
        <w:spacing w:after="0" w:line="118" w:lineRule="exact"/>
        <w:rPr>
          <w:rFonts w:ascii="Times New Roman" w:cs="Times New Roman" w:eastAsia="Times New Roman" w:hAnsi="Times New Roman"/>
          <w:sz w:val="16"/>
          <w:szCs w:val="16"/>
          <w:b w:val="1"/>
          <w:bCs w:val="1"/>
          <w:color w:val="auto"/>
        </w:rPr>
      </w:pPr>
    </w:p>
    <w:p>
      <w:pPr>
        <w:ind w:left="995" w:hanging="486"/>
        <w:spacing w:after="0"/>
        <w:tabs>
          <w:tab w:leader="none" w:pos="995" w:val="left"/>
        </w:tabs>
        <w:numPr>
          <w:ilvl w:val="1"/>
          <w:numId w:val="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means that U.S. Securities and Exchange Commission.</w:t>
      </w:r>
    </w:p>
    <w:p>
      <w:pPr>
        <w:spacing w:after="0" w:line="144" w:lineRule="exact"/>
        <w:rPr>
          <w:rFonts w:ascii="Times New Roman" w:cs="Times New Roman" w:eastAsia="Times New Roman" w:hAnsi="Times New Roman"/>
          <w:sz w:val="16"/>
          <w:szCs w:val="16"/>
          <w:b w:val="1"/>
          <w:bCs w:val="1"/>
          <w:color w:val="auto"/>
        </w:rPr>
      </w:pPr>
    </w:p>
    <w:p>
      <w:pPr>
        <w:ind w:left="1015" w:hanging="506"/>
        <w:spacing w:after="0"/>
        <w:tabs>
          <w:tab w:leader="none" w:pos="1015" w:val="left"/>
        </w:tabs>
        <w:numPr>
          <w:ilvl w:val="1"/>
          <w:numId w:val="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Stock Exchange</w:t>
      </w:r>
      <w:r>
        <w:rPr>
          <w:rFonts w:ascii="Times New Roman" w:cs="Times New Roman" w:eastAsia="Times New Roman" w:hAnsi="Times New Roman"/>
          <w:sz w:val="17"/>
          <w:szCs w:val="17"/>
          <w:color w:val="auto"/>
        </w:rPr>
        <w:t>” means The Nasdaq Stock Market.</w:t>
      </w:r>
    </w:p>
    <w:p>
      <w:pPr>
        <w:spacing w:after="0" w:line="144" w:lineRule="exact"/>
        <w:rPr>
          <w:rFonts w:ascii="Times New Roman" w:cs="Times New Roman" w:eastAsia="Times New Roman" w:hAnsi="Times New Roman"/>
          <w:sz w:val="16"/>
          <w:szCs w:val="16"/>
          <w:b w:val="1"/>
          <w:bCs w:val="1"/>
          <w:color w:val="auto"/>
        </w:rPr>
      </w:pPr>
    </w:p>
    <w:p>
      <w:pPr>
        <w:jc w:val="both"/>
        <w:ind w:left="515" w:hanging="515"/>
        <w:spacing w:after="0" w:line="215" w:lineRule="auto"/>
        <w:tabs>
          <w:tab w:leader="none" w:pos="515" w:val="left"/>
        </w:tabs>
        <w:numPr>
          <w:ilvl w:val="0"/>
          <w:numId w:val="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b w:val="1"/>
          <w:bCs w:val="1"/>
          <w:u w:val="single" w:color="auto"/>
          <w:color w:val="auto"/>
        </w:rPr>
        <w:t>Administration</w:t>
      </w:r>
      <w:r>
        <w:rPr>
          <w:rFonts w:ascii="Times New Roman" w:cs="Times New Roman" w:eastAsia="Times New Roman" w:hAnsi="Times New Roman"/>
          <w:sz w:val="17"/>
          <w:szCs w:val="17"/>
          <w:color w:val="auto"/>
        </w:rPr>
        <w:t>. This Policy will be administered by the Board or, if so designated by the Board, the Committee, in which case references herein to the Board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will be deemed references to the Committee. The Board has full and final authority to make all determinations under this Policy and in compliance with (or pursuant to an exemption from the application of) Section 409A of the Code. The Board may consult with the Audit Committee in evaluating any determinations made pursuant to this Policy. Any determinations made by the Board will be final, conclusive, and binding on all persons, including the Company, its stockholders, and the Covered Executives. Any action or inaction by the Board with respect to a Covered Executive under this Policy in no way limits the Board’s actions or decisions not to act with respect to any other Covered Executive under this Policy or under any similar policy, agreement, or arrangement, nor will any such action or inaction serve as a waiver of any rights the that the Company Group may have against any Covered Executive, other than as set forth in this Policy. The Board may authorize and empower any officer or employee of the Company Group to take any and all actions necessary or appropriate to carry out the purpose and intent of this Policy, other than with respect to any recovery under this Policy involving such officer or employee.</w:t>
      </w:r>
    </w:p>
    <w:p>
      <w:pPr>
        <w:spacing w:after="0" w:line="121" w:lineRule="exact"/>
        <w:rPr>
          <w:rFonts w:ascii="Times New Roman" w:cs="Times New Roman" w:eastAsia="Times New Roman" w:hAnsi="Times New Roman"/>
          <w:sz w:val="16"/>
          <w:szCs w:val="16"/>
          <w:b w:val="1"/>
          <w:bCs w:val="1"/>
          <w:color w:val="auto"/>
        </w:rPr>
      </w:pPr>
    </w:p>
    <w:p>
      <w:pPr>
        <w:jc w:val="both"/>
        <w:ind w:left="515" w:hanging="515"/>
        <w:spacing w:after="0" w:line="217" w:lineRule="auto"/>
        <w:tabs>
          <w:tab w:leader="none" w:pos="515" w:val="left"/>
        </w:tabs>
        <w:numPr>
          <w:ilvl w:val="0"/>
          <w:numId w:val="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b w:val="1"/>
          <w:bCs w:val="1"/>
          <w:u w:val="single" w:color="auto"/>
          <w:color w:val="auto"/>
        </w:rPr>
        <w:t>Scope of Application</w:t>
      </w:r>
      <w:r>
        <w:rPr>
          <w:rFonts w:ascii="Times New Roman" w:cs="Times New Roman" w:eastAsia="Times New Roman" w:hAnsi="Times New Roman"/>
          <w:sz w:val="17"/>
          <w:szCs w:val="17"/>
          <w:color w:val="auto"/>
        </w:rPr>
        <w:t>. This Policy applies to Incentive-Based Compensation Received by a Covered Executive on or after the Effective Date and during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Clawback Period if (a) such Incentive-Based Compensation was Received by the Covered Executive after beginning service as a Covered Executive, (b) the Covered Executive served as a Covered Executive at any time during the performance period for such Incentive-Based Compensation, and</w:t>
      </w:r>
    </w:p>
    <w:p>
      <w:pPr>
        <w:spacing w:after="0" w:line="1" w:lineRule="exact"/>
        <w:rPr>
          <w:rFonts w:ascii="Times New Roman" w:cs="Times New Roman" w:eastAsia="Times New Roman" w:hAnsi="Times New Roman"/>
          <w:sz w:val="16"/>
          <w:szCs w:val="16"/>
          <w:b w:val="1"/>
          <w:bCs w:val="1"/>
          <w:color w:val="auto"/>
        </w:rPr>
      </w:pPr>
    </w:p>
    <w:p>
      <w:pPr>
        <w:ind w:left="515"/>
        <w:spacing w:after="0" w:line="22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(c) the Incentive-Based Compensation was Received by the Covered Executive while the Company had a class of securities listed on a national securities exchange or a national securities association.</w:t>
      </w:r>
    </w:p>
    <w:p>
      <w:pPr>
        <w:spacing w:after="0" w:line="117" w:lineRule="exact"/>
        <w:rPr>
          <w:rFonts w:ascii="Times New Roman" w:cs="Times New Roman" w:eastAsia="Times New Roman" w:hAnsi="Times New Roman"/>
          <w:sz w:val="16"/>
          <w:szCs w:val="16"/>
          <w:b w:val="1"/>
          <w:bCs w:val="1"/>
          <w:color w:val="auto"/>
        </w:rPr>
      </w:pPr>
    </w:p>
    <w:p>
      <w:pPr>
        <w:ind w:left="515" w:hanging="515"/>
        <w:spacing w:after="0" w:line="242" w:lineRule="auto"/>
        <w:tabs>
          <w:tab w:leader="none" w:pos="515" w:val="left"/>
        </w:tabs>
        <w:numPr>
          <w:ilvl w:val="0"/>
          <w:numId w:val="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b w:val="1"/>
          <w:bCs w:val="1"/>
          <w:u w:val="single" w:color="auto"/>
          <w:color w:val="auto"/>
        </w:rPr>
        <w:t>Clawback Requirement</w:t>
      </w:r>
      <w:r>
        <w:rPr>
          <w:rFonts w:ascii="Times New Roman" w:cs="Times New Roman" w:eastAsia="Times New Roman" w:hAnsi="Times New Roman"/>
          <w:sz w:val="17"/>
          <w:szCs w:val="17"/>
          <w:color w:val="auto"/>
        </w:rPr>
        <w:t>. If the Company is required to prepare an Accounting Restatement, the Company Group must recover (and each Covered Executive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must repay), reasonably promptly, each Covered Executive’s Erroneously Awarded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35"/>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11275"/>
          </w:cols>
          <w:pgMar w:left="305" w:top="1123" w:right="319" w:bottom="1440" w:gutter="0" w:footer="0" w:header="0"/>
        </w:sectPr>
      </w:pPr>
    </w:p>
    <w:bookmarkStart w:id="238" w:name="page239"/>
    <w:bookmarkEnd w:id="238"/>
    <w:p>
      <w:pPr>
        <w:ind w:left="515"/>
        <w:spacing w:after="0" w:line="238" w:lineRule="auto"/>
        <w:rPr>
          <w:sz w:val="20"/>
          <w:szCs w:val="20"/>
          <w:color w:val="auto"/>
        </w:rPr>
      </w:pPr>
      <w:r>
        <w:rPr>
          <w:rFonts w:ascii="Times New Roman" w:cs="Times New Roman" w:eastAsia="Times New Roman" w:hAnsi="Times New Roman"/>
          <w:sz w:val="17"/>
          <w:szCs w:val="17"/>
          <w:color w:val="auto"/>
        </w:rPr>
        <w:t>Compensation, except as provided in Section 7 of this Policy. The Company may recover Erroneously Awarded Compensation in any manner set forth in Section 6 of this Policy.</w:t>
      </w:r>
    </w:p>
    <w:p>
      <w:pPr>
        <w:spacing w:after="0" w:line="118" w:lineRule="exact"/>
        <w:rPr>
          <w:sz w:val="20"/>
          <w:szCs w:val="20"/>
          <w:color w:val="auto"/>
        </w:rPr>
      </w:pPr>
    </w:p>
    <w:p>
      <w:pPr>
        <w:ind w:left="515" w:hanging="515"/>
        <w:spacing w:after="0"/>
        <w:tabs>
          <w:tab w:leader="none" w:pos="515" w:val="left"/>
        </w:tabs>
        <w:numPr>
          <w:ilvl w:val="0"/>
          <w:numId w:val="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b w:val="1"/>
          <w:bCs w:val="1"/>
          <w:u w:val="single" w:color="auto"/>
          <w:color w:val="auto"/>
        </w:rPr>
        <w:t>Clawback Methods</w:t>
      </w:r>
      <w:r>
        <w:rPr>
          <w:rFonts w:ascii="Times New Roman" w:cs="Times New Roman" w:eastAsia="Times New Roman" w:hAnsi="Times New Roman"/>
          <w:sz w:val="17"/>
          <w:szCs w:val="17"/>
          <w:color w:val="auto"/>
        </w:rPr>
        <w:t>.</w:t>
      </w:r>
    </w:p>
    <w:p>
      <w:pPr>
        <w:spacing w:after="0" w:line="148" w:lineRule="exact"/>
        <w:rPr>
          <w:rFonts w:ascii="Times New Roman" w:cs="Times New Roman" w:eastAsia="Times New Roman" w:hAnsi="Times New Roman"/>
          <w:sz w:val="16"/>
          <w:szCs w:val="16"/>
          <w:b w:val="1"/>
          <w:bCs w:val="1"/>
          <w:color w:val="auto"/>
        </w:rPr>
      </w:pPr>
    </w:p>
    <w:p>
      <w:pPr>
        <w:ind w:left="1015" w:hanging="506"/>
        <w:spacing w:after="0" w:line="238" w:lineRule="auto"/>
        <w:tabs>
          <w:tab w:leader="none" w:pos="1015" w:val="left"/>
        </w:tabs>
        <w:numPr>
          <w:ilvl w:val="1"/>
          <w:numId w:val="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The Board will determine, in its sole discretion, the timing and method for recovering each Covered Executive’s Erroneously Awarded Compensation in a reasonably prompt manner, which may include, without limitation, one or more of the following methods (applied individually or jointly):</w:t>
      </w:r>
    </w:p>
    <w:p>
      <w:pPr>
        <w:spacing w:after="0" w:line="121" w:lineRule="exact"/>
        <w:rPr>
          <w:rFonts w:ascii="Times New Roman" w:cs="Times New Roman" w:eastAsia="Times New Roman" w:hAnsi="Times New Roman"/>
          <w:sz w:val="16"/>
          <w:szCs w:val="16"/>
          <w:b w:val="1"/>
          <w:bCs w:val="1"/>
          <w:color w:val="auto"/>
        </w:rPr>
      </w:pPr>
    </w:p>
    <w:p>
      <w:pPr>
        <w:ind w:left="1515" w:hanging="242"/>
        <w:spacing w:after="0"/>
        <w:tabs>
          <w:tab w:leader="none" w:pos="1515" w:val="left"/>
        </w:tabs>
        <w:numPr>
          <w:ilvl w:val="3"/>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requiring the Covered Executive to repay the Company Group in cash or other property determined to be acceptable by the Board;</w:t>
      </w:r>
    </w:p>
    <w:p>
      <w:pPr>
        <w:spacing w:after="0" w:line="144" w:lineRule="exact"/>
        <w:rPr>
          <w:rFonts w:ascii="Times New Roman" w:cs="Times New Roman" w:eastAsia="Times New Roman" w:hAnsi="Times New Roman"/>
          <w:sz w:val="17"/>
          <w:szCs w:val="17"/>
          <w:b w:val="1"/>
          <w:bCs w:val="1"/>
          <w:color w:val="auto"/>
        </w:rPr>
      </w:pPr>
    </w:p>
    <w:p>
      <w:pPr>
        <w:ind w:left="1535" w:hanging="262"/>
        <w:spacing w:after="0" w:line="238" w:lineRule="auto"/>
        <w:tabs>
          <w:tab w:leader="none" w:pos="1534" w:val="left"/>
        </w:tabs>
        <w:numPr>
          <w:ilvl w:val="3"/>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offsetting the Erroneously Awarded Compensation against any compensation otherwise owing by the Company Group to the Covered Executive or to be earned by the Covered Executive;</w:t>
      </w:r>
    </w:p>
    <w:p>
      <w:pPr>
        <w:spacing w:after="0" w:line="121" w:lineRule="exact"/>
        <w:rPr>
          <w:rFonts w:ascii="Times New Roman" w:cs="Times New Roman" w:eastAsia="Times New Roman" w:hAnsi="Times New Roman"/>
          <w:sz w:val="17"/>
          <w:szCs w:val="17"/>
          <w:b w:val="1"/>
          <w:bCs w:val="1"/>
          <w:color w:val="auto"/>
        </w:rPr>
      </w:pPr>
    </w:p>
    <w:p>
      <w:pPr>
        <w:ind w:left="1515" w:hanging="242"/>
        <w:spacing w:after="0"/>
        <w:tabs>
          <w:tab w:leader="none" w:pos="1515" w:val="left"/>
        </w:tabs>
        <w:numPr>
          <w:ilvl w:val="3"/>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cancelling outstanding vested or unvested cash or equity awards;</w:t>
      </w:r>
    </w:p>
    <w:p>
      <w:pPr>
        <w:spacing w:after="0" w:line="144" w:lineRule="exact"/>
        <w:rPr>
          <w:rFonts w:ascii="Times New Roman" w:cs="Times New Roman" w:eastAsia="Times New Roman" w:hAnsi="Times New Roman"/>
          <w:sz w:val="17"/>
          <w:szCs w:val="17"/>
          <w:b w:val="1"/>
          <w:bCs w:val="1"/>
          <w:color w:val="auto"/>
        </w:rPr>
      </w:pPr>
    </w:p>
    <w:p>
      <w:pPr>
        <w:ind w:left="1515" w:hanging="242"/>
        <w:spacing w:after="0"/>
        <w:tabs>
          <w:tab w:leader="none" w:pos="1515" w:val="left"/>
        </w:tabs>
        <w:numPr>
          <w:ilvl w:val="3"/>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cancelling or offsetting against any planned future cash or equity awards; and</w:t>
      </w:r>
    </w:p>
    <w:p>
      <w:pPr>
        <w:spacing w:after="0" w:line="144" w:lineRule="exact"/>
        <w:rPr>
          <w:rFonts w:ascii="Times New Roman" w:cs="Times New Roman" w:eastAsia="Times New Roman" w:hAnsi="Times New Roman"/>
          <w:sz w:val="17"/>
          <w:szCs w:val="17"/>
          <w:b w:val="1"/>
          <w:bCs w:val="1"/>
          <w:color w:val="auto"/>
        </w:rPr>
      </w:pPr>
    </w:p>
    <w:p>
      <w:pPr>
        <w:ind w:left="1515" w:hanging="242"/>
        <w:spacing w:after="0"/>
        <w:tabs>
          <w:tab w:leader="none" w:pos="1515" w:val="left"/>
        </w:tabs>
        <w:numPr>
          <w:ilvl w:val="3"/>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taking any other remedial and recovery action authorized by law or contract.</w:t>
      </w:r>
    </w:p>
    <w:p>
      <w:pPr>
        <w:spacing w:after="0" w:line="144" w:lineRule="exact"/>
        <w:rPr>
          <w:rFonts w:ascii="Times New Roman" w:cs="Times New Roman" w:eastAsia="Times New Roman" w:hAnsi="Times New Roman"/>
          <w:sz w:val="17"/>
          <w:szCs w:val="17"/>
          <w:b w:val="1"/>
          <w:bCs w:val="1"/>
          <w:color w:val="auto"/>
        </w:rPr>
      </w:pPr>
    </w:p>
    <w:p>
      <w:pPr>
        <w:jc w:val="both"/>
        <w:ind w:left="1015" w:hanging="506"/>
        <w:spacing w:after="0" w:line="223" w:lineRule="auto"/>
        <w:tabs>
          <w:tab w:leader="none" w:pos="1013" w:val="left"/>
        </w:tabs>
        <w:numPr>
          <w:ilvl w:val="1"/>
          <w:numId w:val="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If the Board determines that a Covered Executive has not complied with the terms of this Policy and promptly repaid the Covered Executive’s Erroneously Awarded Compensation in full pursuant to the recovery method elected by the Board, the Covered Executive will be required (in addition to repaying such amounts to the Company Group) to reimburse the Company Group for any and all expenses reasonably incurred (including legal fees) by the Company Group in recovering such Erroneously Awarded Compensation in accordance with this Policy.</w:t>
      </w:r>
    </w:p>
    <w:p>
      <w:pPr>
        <w:spacing w:after="0" w:line="118" w:lineRule="exact"/>
        <w:rPr>
          <w:rFonts w:ascii="Times New Roman" w:cs="Times New Roman" w:eastAsia="Times New Roman" w:hAnsi="Times New Roman"/>
          <w:sz w:val="16"/>
          <w:szCs w:val="16"/>
          <w:b w:val="1"/>
          <w:bCs w:val="1"/>
          <w:color w:val="auto"/>
        </w:rPr>
      </w:pPr>
    </w:p>
    <w:p>
      <w:pPr>
        <w:jc w:val="both"/>
        <w:ind w:left="515" w:hanging="515"/>
        <w:spacing w:after="0" w:line="230" w:lineRule="auto"/>
        <w:tabs>
          <w:tab w:leader="none" w:pos="515" w:val="left"/>
        </w:tabs>
        <w:numPr>
          <w:ilvl w:val="0"/>
          <w:numId w:val="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b w:val="1"/>
          <w:bCs w:val="1"/>
          <w:u w:val="single" w:color="auto"/>
          <w:color w:val="auto"/>
        </w:rPr>
        <w:t>Exceptions to Clawback Requirement</w:t>
      </w:r>
      <w:r>
        <w:rPr>
          <w:rFonts w:ascii="Times New Roman" w:cs="Times New Roman" w:eastAsia="Times New Roman" w:hAnsi="Times New Roman"/>
          <w:sz w:val="17"/>
          <w:szCs w:val="17"/>
          <w:color w:val="auto"/>
        </w:rPr>
        <w:t>. Notwithstanding anything to the contrary in this Policy, the Company Group’s recovery obligation under this Policy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will not apply to the extent that either the Committee or, if the determination is made by the Board, a majority of the independent directors serving on the Board, determines that such recovery would be impracticable </w:t>
      </w:r>
      <w:r>
        <w:rPr>
          <w:rFonts w:ascii="Times New Roman" w:cs="Times New Roman" w:eastAsia="Times New Roman" w:hAnsi="Times New Roman"/>
          <w:sz w:val="17"/>
          <w:szCs w:val="17"/>
          <w:u w:val="single" w:color="auto"/>
          <w:color w:val="auto"/>
        </w:rPr>
        <w:t>and</w:t>
      </w:r>
      <w:r>
        <w:rPr>
          <w:rFonts w:ascii="Times New Roman" w:cs="Times New Roman" w:eastAsia="Times New Roman" w:hAnsi="Times New Roman"/>
          <w:sz w:val="17"/>
          <w:szCs w:val="17"/>
          <w:color w:val="auto"/>
        </w:rPr>
        <w:t xml:space="preserve"> that one or more of the following applies:</w:t>
      </w:r>
    </w:p>
    <w:p>
      <w:pPr>
        <w:spacing w:after="0" w:line="121" w:lineRule="exact"/>
        <w:rPr>
          <w:rFonts w:ascii="Times New Roman" w:cs="Times New Roman" w:eastAsia="Times New Roman" w:hAnsi="Times New Roman"/>
          <w:sz w:val="16"/>
          <w:szCs w:val="16"/>
          <w:b w:val="1"/>
          <w:bCs w:val="1"/>
          <w:color w:val="auto"/>
        </w:rPr>
      </w:pPr>
    </w:p>
    <w:p>
      <w:pPr>
        <w:jc w:val="both"/>
        <w:ind w:left="1015" w:hanging="506"/>
        <w:spacing w:after="0" w:line="223" w:lineRule="auto"/>
        <w:tabs>
          <w:tab w:leader="none" w:pos="1015" w:val="left"/>
        </w:tabs>
        <w:numPr>
          <w:ilvl w:val="1"/>
          <w:numId w:val="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 xml:space="preserve">the direct expense paid to a third party to assist in enforcing this Policy would exceed the amount of the Erroneously Awarded Compensation;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before concluding that it would be impracticable to recover any amount of Erroneously Awarded Compensation based on expense of enforcement, the Company Group must (i) make a reasonable attempt to recover such Erroneously Awarded Compensation, (ii) document such reasonable attempt to recover, and (iii) provide that documentation to the Stock Exchange;</w:t>
      </w:r>
    </w:p>
    <w:p>
      <w:pPr>
        <w:spacing w:after="0" w:line="122" w:lineRule="exact"/>
        <w:rPr>
          <w:rFonts w:ascii="Times New Roman" w:cs="Times New Roman" w:eastAsia="Times New Roman" w:hAnsi="Times New Roman"/>
          <w:sz w:val="16"/>
          <w:szCs w:val="16"/>
          <w:b w:val="1"/>
          <w:bCs w:val="1"/>
          <w:color w:val="auto"/>
        </w:rPr>
      </w:pPr>
    </w:p>
    <w:p>
      <w:pPr>
        <w:jc w:val="both"/>
        <w:ind w:left="1015" w:hanging="506"/>
        <w:spacing w:after="0" w:line="219" w:lineRule="auto"/>
        <w:tabs>
          <w:tab w:leader="none" w:pos="1013" w:val="left"/>
        </w:tabs>
        <w:numPr>
          <w:ilvl w:val="1"/>
          <w:numId w:val="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 xml:space="preserve">recovery would violate home country law where that law was adopted prior to November 28, 2022;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before concluding that it would be impracticable to recover any amount of Erroneously Awarded Compensation based on violation of home country law, the Company Group must</w:t>
      </w:r>
    </w:p>
    <w:p>
      <w:pPr>
        <w:ind w:left="1015" w:firstLine="3"/>
        <w:spacing w:after="0" w:line="227" w:lineRule="auto"/>
        <w:tabs>
          <w:tab w:leader="none" w:pos="1225" w:val="left"/>
        </w:tabs>
        <w:numPr>
          <w:ilvl w:val="2"/>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an opinion of home country counsel, acceptable to the Stock Exchange, that recovery would result in such a violation and (ii) provide such opinion to the Stock Exchange;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5"/>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11275"/>
          </w:cols>
          <w:pgMar w:left="305" w:top="1127" w:right="319" w:bottom="1440" w:gutter="0" w:footer="0" w:header="0"/>
        </w:sectPr>
      </w:pPr>
    </w:p>
    <w:bookmarkStart w:id="239" w:name="page240"/>
    <w:bookmarkEnd w:id="239"/>
    <w:p>
      <w:pPr>
        <w:ind w:left="1015" w:hanging="506"/>
        <w:spacing w:after="0" w:line="238" w:lineRule="auto"/>
        <w:tabs>
          <w:tab w:leader="none" w:pos="1006" w:val="left"/>
        </w:tabs>
        <w:numPr>
          <w:ilvl w:val="1"/>
          <w:numId w:val="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recovery would likely cause an otherwise tax-qualified retirement plan, under which benefits are broadly available to employees of the Company Group, to fail to meet the requirements of Section 401(a)(13) of the Code or Section 411(a) of the Code.</w:t>
      </w:r>
    </w:p>
    <w:p>
      <w:pPr>
        <w:spacing w:after="0" w:line="117" w:lineRule="exact"/>
        <w:rPr>
          <w:rFonts w:ascii="Times New Roman" w:cs="Times New Roman" w:eastAsia="Times New Roman" w:hAnsi="Times New Roman"/>
          <w:sz w:val="16"/>
          <w:szCs w:val="16"/>
          <w:b w:val="1"/>
          <w:bCs w:val="1"/>
          <w:color w:val="auto"/>
        </w:rPr>
      </w:pPr>
    </w:p>
    <w:p>
      <w:pPr>
        <w:jc w:val="both"/>
        <w:ind w:left="515" w:hanging="515"/>
        <w:spacing w:after="0" w:line="217" w:lineRule="auto"/>
        <w:tabs>
          <w:tab w:leader="none" w:pos="515" w:val="left"/>
        </w:tabs>
        <w:numPr>
          <w:ilvl w:val="0"/>
          <w:numId w:val="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b w:val="1"/>
          <w:bCs w:val="1"/>
          <w:u w:val="single" w:color="auto"/>
          <w:color w:val="auto"/>
        </w:rPr>
        <w:t>Indemnification</w:t>
      </w:r>
      <w:r>
        <w:rPr>
          <w:rFonts w:ascii="Times New Roman" w:cs="Times New Roman" w:eastAsia="Times New Roman" w:hAnsi="Times New Roman"/>
          <w:sz w:val="17"/>
          <w:szCs w:val="17"/>
          <w:color w:val="auto"/>
        </w:rPr>
        <w:t>. Notwithstanding the terms of any indemnification arrangement or insurance policy or contract with, or for the benefit of, any Covered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the Company Group may not indemnify any Covered Executive against the loss of Erroneously Awarded Compensation, including any payment or reimbursement for the cost of third-party insurance purchased by any Covered Executive to fund potential clawback obligations under this Policy, or against the requirement to reimburse the Company hereunder for expenses incurred by the Company in recovering Erroneously Awarded Compensation. No member of the Board who assists in the administration of this Policy will be liable for any action, determination, or interpretation made with respect to this Policy, and each member of the Board will be fully indemnified by the Company Group to the fullest extent under applicable law or Company Group policy with respect to such action, determination, or interpretation.</w:t>
      </w:r>
    </w:p>
    <w:p>
      <w:pPr>
        <w:spacing w:after="0" w:line="120" w:lineRule="exact"/>
        <w:rPr>
          <w:rFonts w:ascii="Times New Roman" w:cs="Times New Roman" w:eastAsia="Times New Roman" w:hAnsi="Times New Roman"/>
          <w:sz w:val="16"/>
          <w:szCs w:val="16"/>
          <w:b w:val="1"/>
          <w:bCs w:val="1"/>
          <w:color w:val="auto"/>
        </w:rPr>
      </w:pPr>
    </w:p>
    <w:p>
      <w:pPr>
        <w:ind w:left="515" w:hanging="515"/>
        <w:spacing w:after="0" w:line="242" w:lineRule="auto"/>
        <w:tabs>
          <w:tab w:leader="none" w:pos="515" w:val="left"/>
        </w:tabs>
        <w:numPr>
          <w:ilvl w:val="0"/>
          <w:numId w:val="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b w:val="1"/>
          <w:bCs w:val="1"/>
          <w:u w:val="single" w:color="auto"/>
          <w:color w:val="auto"/>
        </w:rPr>
        <w:t>Acknowledgement Requirement</w:t>
      </w:r>
      <w:r>
        <w:rPr>
          <w:rFonts w:ascii="Times New Roman" w:cs="Times New Roman" w:eastAsia="Times New Roman" w:hAnsi="Times New Roman"/>
          <w:sz w:val="17"/>
          <w:szCs w:val="17"/>
          <w:color w:val="auto"/>
        </w:rPr>
        <w:t>. Each Covered Executive must sign and return to the Company, within 30 days following the later of (a) the Effective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and (b) the date on which the individual becomes a Covered Executive, the Acknowledgement Form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115" w:lineRule="exact"/>
        <w:rPr>
          <w:rFonts w:ascii="Times New Roman" w:cs="Times New Roman" w:eastAsia="Times New Roman" w:hAnsi="Times New Roman"/>
          <w:sz w:val="16"/>
          <w:szCs w:val="16"/>
          <w:b w:val="1"/>
          <w:bCs w:val="1"/>
          <w:color w:val="auto"/>
        </w:rPr>
      </w:pPr>
    </w:p>
    <w:p>
      <w:pPr>
        <w:ind w:left="515" w:hanging="515"/>
        <w:spacing w:after="0" w:line="242" w:lineRule="auto"/>
        <w:tabs>
          <w:tab w:leader="none" w:pos="508" w:val="left"/>
        </w:tabs>
        <w:numPr>
          <w:ilvl w:val="0"/>
          <w:numId w:val="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b w:val="1"/>
          <w:bCs w:val="1"/>
          <w:u w:val="single" w:color="auto"/>
          <w:color w:val="auto"/>
        </w:rPr>
        <w:t>Required Disclosures</w:t>
      </w:r>
      <w:r>
        <w:rPr>
          <w:rFonts w:ascii="Times New Roman" w:cs="Times New Roman" w:eastAsia="Times New Roman" w:hAnsi="Times New Roman"/>
          <w:sz w:val="17"/>
          <w:szCs w:val="17"/>
          <w:color w:val="auto"/>
        </w:rPr>
        <w:t>. The Company will file all disclosures with respect to this Policy in accordance with the requirements of the federal securities laws,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any disclosures required by the SEC.</w:t>
      </w:r>
    </w:p>
    <w:p>
      <w:pPr>
        <w:spacing w:after="0" w:line="115" w:lineRule="exact"/>
        <w:rPr>
          <w:sz w:val="20"/>
          <w:szCs w:val="20"/>
          <w:color w:val="auto"/>
        </w:rPr>
      </w:pPr>
    </w:p>
    <w:p>
      <w:pPr>
        <w:jc w:val="both"/>
        <w:ind w:left="495" w:hanging="508"/>
        <w:spacing w:after="0" w:line="230" w:lineRule="auto"/>
        <w:tabs>
          <w:tab w:leader="none" w:pos="475" w:val="left"/>
        </w:tabs>
        <w:rPr>
          <w:sz w:val="20"/>
          <w:szCs w:val="20"/>
          <w:color w:val="auto"/>
        </w:rPr>
      </w:pPr>
      <w:r>
        <w:rPr>
          <w:rFonts w:ascii="Times New Roman" w:cs="Times New Roman" w:eastAsia="Times New Roman" w:hAnsi="Times New Roman"/>
          <w:sz w:val="16"/>
          <w:szCs w:val="16"/>
          <w:b w:val="1"/>
          <w:bCs w:val="1"/>
          <w:color w:val="auto"/>
        </w:rPr>
        <w:t>11.</w:t>
      </w:r>
      <w:r>
        <w:rPr>
          <w:sz w:val="20"/>
          <w:szCs w:val="20"/>
          <w:color w:val="auto"/>
        </w:rPr>
        <w:tab/>
      </w:r>
      <w:r>
        <w:rPr>
          <w:rFonts w:ascii="Times New Roman" w:cs="Times New Roman" w:eastAsia="Times New Roman" w:hAnsi="Times New Roman"/>
          <w:sz w:val="17"/>
          <w:szCs w:val="17"/>
          <w:b w:val="1"/>
          <w:bCs w:val="1"/>
          <w:u w:val="single" w:color="auto"/>
          <w:color w:val="auto"/>
        </w:rPr>
        <w:t>Adoption Date; Effective Date</w:t>
      </w:r>
      <w:r>
        <w:rPr>
          <w:rFonts w:ascii="Times New Roman" w:cs="Times New Roman" w:eastAsia="Times New Roman" w:hAnsi="Times New Roman"/>
          <w:sz w:val="17"/>
          <w:szCs w:val="17"/>
          <w:color w:val="auto"/>
        </w:rPr>
        <w:t>. This Policy was adopted by the Board on [ ], 2025, and will be effective as the Effective Date. The terms and conditions</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color w:val="auto"/>
        </w:rPr>
        <w:t>of this Policy will apply to Incentive-Based Compensation that is Received by any Covered Executive on or after the Effective Date, even if such Incentive-Based Compensation was approved, awarded, or granted to the Covered Executive prior to the Effective Date.</w:t>
      </w:r>
    </w:p>
    <w:p>
      <w:pPr>
        <w:spacing w:after="0" w:line="117" w:lineRule="exact"/>
        <w:rPr>
          <w:sz w:val="20"/>
          <w:szCs w:val="20"/>
          <w:color w:val="auto"/>
        </w:rPr>
      </w:pPr>
    </w:p>
    <w:p>
      <w:pPr>
        <w:ind w:left="515" w:hanging="515"/>
        <w:spacing w:after="0" w:line="242" w:lineRule="auto"/>
        <w:tabs>
          <w:tab w:leader="none" w:pos="508" w:val="left"/>
        </w:tabs>
        <w:numPr>
          <w:ilvl w:val="0"/>
          <w:numId w:val="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b w:val="1"/>
          <w:bCs w:val="1"/>
          <w:u w:val="single" w:color="auto"/>
          <w:color w:val="auto"/>
        </w:rPr>
        <w:t>Amendment; Termination</w:t>
      </w:r>
      <w:r>
        <w:rPr>
          <w:rFonts w:ascii="Times New Roman" w:cs="Times New Roman" w:eastAsia="Times New Roman" w:hAnsi="Times New Roman"/>
          <w:sz w:val="17"/>
          <w:szCs w:val="17"/>
          <w:color w:val="auto"/>
        </w:rPr>
        <w:t>. The Board may amend this Policy from time to time in its discretion. The Board may suspend, discontinue, or terminate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Policy at any time.</w:t>
      </w:r>
    </w:p>
    <w:p>
      <w:pPr>
        <w:spacing w:after="0" w:line="115" w:lineRule="exact"/>
        <w:rPr>
          <w:rFonts w:ascii="Times New Roman" w:cs="Times New Roman" w:eastAsia="Times New Roman" w:hAnsi="Times New Roman"/>
          <w:sz w:val="16"/>
          <w:szCs w:val="16"/>
          <w:b w:val="1"/>
          <w:bCs w:val="1"/>
          <w:color w:val="auto"/>
        </w:rPr>
      </w:pPr>
    </w:p>
    <w:p>
      <w:pPr>
        <w:jc w:val="both"/>
        <w:ind w:left="515" w:hanging="515"/>
        <w:spacing w:after="0" w:line="217" w:lineRule="auto"/>
        <w:tabs>
          <w:tab w:leader="none" w:pos="508" w:val="left"/>
        </w:tabs>
        <w:numPr>
          <w:ilvl w:val="0"/>
          <w:numId w:val="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b w:val="1"/>
          <w:bCs w:val="1"/>
          <w:u w:val="single" w:color="auto"/>
          <w:color w:val="auto"/>
        </w:rPr>
        <w:t>Other Recovery Rights</w:t>
      </w:r>
      <w:r>
        <w:rPr>
          <w:rFonts w:ascii="Times New Roman" w:cs="Times New Roman" w:eastAsia="Times New Roman" w:hAnsi="Times New Roman"/>
          <w:sz w:val="17"/>
          <w:szCs w:val="17"/>
          <w:color w:val="auto"/>
        </w:rPr>
        <w:t>. The Board intends that this Policy will be applied to the fullest permissible extent. The Board may require that any employment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equity award agreement, or similar agreement entered into on or after the Effective Date will, as a condition to the grant of any benefit thereunder, require a Covered Executive to agree to be subject to and to abide by the terms of this Policy. Any right of recovery under this Policy is in addition to, and not in lieu of, any other remedies or rights of recovery that may be available to the Company Group pursuant to the terms of any similar policy in any employment agreement, equity award agreement, or similar agreement and any other legal remedies available to the Company Group. To the extent that the application of this Policy would provide for recovery of Incentive-Based Compensation that the Company Group recovers from a Covered Executive pursuant to Section 304 of the Sarbanes-Oxley Act of 2002 or other recovery obligations, the amount such Covered Executive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5"/>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11275"/>
          </w:cols>
          <w:pgMar w:left="305" w:top="1127" w:right="319" w:bottom="1440" w:gutter="0" w:footer="0" w:header="0"/>
        </w:sectPr>
      </w:pPr>
    </w:p>
    <w:bookmarkStart w:id="240" w:name="page241"/>
    <w:bookmarkEnd w:id="240"/>
    <w:p>
      <w:pPr>
        <w:ind w:left="515"/>
        <w:spacing w:after="0"/>
        <w:rPr>
          <w:sz w:val="20"/>
          <w:szCs w:val="20"/>
          <w:color w:val="auto"/>
        </w:rPr>
      </w:pPr>
      <w:r>
        <w:rPr>
          <w:rFonts w:ascii="Times New Roman" w:cs="Times New Roman" w:eastAsia="Times New Roman" w:hAnsi="Times New Roman"/>
          <w:sz w:val="17"/>
          <w:szCs w:val="17"/>
          <w:color w:val="auto"/>
        </w:rPr>
        <w:t>already reimbursed the Company Group will be credited to the required recovery under this Policy.</w:t>
      </w:r>
    </w:p>
    <w:p>
      <w:pPr>
        <w:spacing w:after="0" w:line="140" w:lineRule="exact"/>
        <w:rPr>
          <w:sz w:val="20"/>
          <w:szCs w:val="20"/>
          <w:color w:val="auto"/>
        </w:rPr>
      </w:pPr>
    </w:p>
    <w:p>
      <w:pPr>
        <w:ind w:left="515" w:hanging="515"/>
        <w:spacing w:after="0" w:line="242" w:lineRule="auto"/>
        <w:tabs>
          <w:tab w:leader="none" w:pos="508" w:val="left"/>
        </w:tabs>
        <w:numPr>
          <w:ilvl w:val="0"/>
          <w:numId w:val="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b w:val="1"/>
          <w:bCs w:val="1"/>
          <w:u w:val="single" w:color="auto"/>
          <w:color w:val="auto"/>
        </w:rPr>
        <w:t>Successors</w:t>
      </w:r>
      <w:r>
        <w:rPr>
          <w:rFonts w:ascii="Times New Roman" w:cs="Times New Roman" w:eastAsia="Times New Roman" w:hAnsi="Times New Roman"/>
          <w:sz w:val="17"/>
          <w:szCs w:val="17"/>
          <w:color w:val="auto"/>
        </w:rPr>
        <w:t>. This Policy will be binding and enforceable against all Covered Executives and their beneficiaries, heirs, executors, administrators, and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legal representatives.</w:t>
      </w:r>
    </w:p>
    <w:p>
      <w:pPr>
        <w:spacing w:after="0" w:line="115" w:lineRule="exact"/>
        <w:rPr>
          <w:rFonts w:ascii="Times New Roman" w:cs="Times New Roman" w:eastAsia="Times New Roman" w:hAnsi="Times New Roman"/>
          <w:sz w:val="16"/>
          <w:szCs w:val="16"/>
          <w:b w:val="1"/>
          <w:bCs w:val="1"/>
          <w:color w:val="auto"/>
        </w:rPr>
      </w:pPr>
    </w:p>
    <w:p>
      <w:pPr>
        <w:jc w:val="both"/>
        <w:ind w:left="515" w:hanging="515"/>
        <w:spacing w:after="0" w:line="221" w:lineRule="auto"/>
        <w:tabs>
          <w:tab w:leader="none" w:pos="508" w:val="left"/>
        </w:tabs>
        <w:numPr>
          <w:ilvl w:val="0"/>
          <w:numId w:val="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b w:val="1"/>
          <w:bCs w:val="1"/>
          <w:u w:val="single" w:color="auto"/>
          <w:color w:val="auto"/>
        </w:rPr>
        <w:t>Governing Law; Venue</w:t>
      </w:r>
      <w:r>
        <w:rPr>
          <w:rFonts w:ascii="Times New Roman" w:cs="Times New Roman" w:eastAsia="Times New Roman" w:hAnsi="Times New Roman"/>
          <w:sz w:val="17"/>
          <w:szCs w:val="17"/>
          <w:color w:val="auto"/>
        </w:rPr>
        <w:t>. This Policy and all rights and obligations hereunder are governed by and construed in accordance with the laws of the State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Delaware, excluding any choice of law rules or principles that may direct the application of the laws of another jurisdiction. All actions arising out of or relating to this Policy will be heard and determined exclusively in the Court of Chancery of the State of Delaware or, if such court declines to exercise jurisdiction or if subject matter jurisdiction over the matter that is the subject of any such legal action or proceeding is vested exclusively in the U.S. federal courts, the U.S. District Court for the District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5"/>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11275"/>
          </w:cols>
          <w:pgMar w:left="305" w:top="1126" w:right="319" w:bottom="1440" w:gutter="0" w:footer="0" w:header="0"/>
        </w:sectPr>
      </w:pPr>
    </w:p>
    <w:bookmarkStart w:id="241" w:name="page242"/>
    <w:bookmarkEnd w:id="241"/>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PUBLIC POLICY HOLDING COMPANY, INC.</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CLAWBACK POLICY</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Acknowledgement Form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signing below, the undersigned acknowledges and agrees that the undersigned has received and reviewed a copy of the Public Policy Holding Company,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Clawback Policy (the “</w:t>
      </w:r>
      <w:r>
        <w:rPr>
          <w:rFonts w:ascii="Times New Roman" w:cs="Times New Roman" w:eastAsia="Times New Roman" w:hAnsi="Times New Roman"/>
          <w:sz w:val="17"/>
          <w:szCs w:val="17"/>
          <w:b w:val="1"/>
          <w:bCs w:val="1"/>
          <w:color w:val="auto"/>
        </w:rPr>
        <w:t>Policy</w:t>
      </w:r>
      <w:r>
        <w:rPr>
          <w:rFonts w:ascii="Times New Roman" w:cs="Times New Roman" w:eastAsia="Times New Roman" w:hAnsi="Times New Roman"/>
          <w:sz w:val="17"/>
          <w:szCs w:val="17"/>
          <w:color w:val="auto"/>
        </w:rPr>
        <w:t>”). Any capitalized terms used in this Acknowledgement Form will have the meaning set forth in the Policy.</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undersigned further acknowledges and agrees that (i) the terms and conditions of the Policy, as it may be amended, restated, supplemented, or otherwise modified from time to time, will apply to the (a) undersigned’s outstanding awards of Incentive-Based Compensation and (b) any other awards of Incentive-Based Compensation Received by the undersigned during any Clawback Period, and (ii) the Policy, as it may be amended, restated, supplemented, or otherwise modified from time to time, will apply both during and after the undersigned’s employment with the Company Group.</w:t>
      </w:r>
    </w:p>
    <w:p>
      <w:pPr>
        <w:spacing w:after="0" w:line="3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7"/>
          <w:szCs w:val="17"/>
          <w:color w:val="auto"/>
        </w:rPr>
        <w:t>In the event of any inconsistency between the Policy and the terms of any employment agreement to which the undersigned is a party, or the terms of any compensation plan, program, agreement, or arrangement under which any compensation has been granted, awarded, earned, or paid to the undersigned, the terms of the Policy will govern.</w:t>
      </w:r>
    </w:p>
    <w:p>
      <w:pPr>
        <w:spacing w:after="0" w:line="1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If it is determined by the Board that any of the undersigned’s Incentive-Based Compensation must be recovered by the Company Group, the undersigned agrees to promptly take any action necessary to effectuate such recovery as directed by the Board.</w:t>
      </w:r>
    </w:p>
    <w:p>
      <w:pPr>
        <w:spacing w:after="0" w:line="389" w:lineRule="exact"/>
        <w:rPr>
          <w:sz w:val="20"/>
          <w:szCs w:val="20"/>
          <w:color w:val="auto"/>
        </w:rPr>
      </w:pPr>
    </w:p>
    <w:p>
      <w:pPr>
        <w:spacing w:after="0"/>
        <w:tabs>
          <w:tab w:leader="none" w:pos="3040" w:val="left"/>
        </w:tabs>
        <w:rPr>
          <w:sz w:val="20"/>
          <w:szCs w:val="20"/>
          <w:color w:val="auto"/>
        </w:rPr>
      </w:pPr>
      <w:r>
        <w:rPr>
          <w:rFonts w:ascii="Times New Roman" w:cs="Times New Roman" w:eastAsia="Times New Roman" w:hAnsi="Times New Roman"/>
          <w:sz w:val="17"/>
          <w:szCs w:val="17"/>
          <w:color w:val="auto"/>
        </w:rPr>
        <w:t>__________________________________</w:t>
      </w:r>
      <w:r>
        <w:rPr>
          <w:sz w:val="20"/>
          <w:szCs w:val="20"/>
          <w:color w:val="auto"/>
        </w:rPr>
        <w:tab/>
      </w:r>
      <w:r>
        <w:rPr>
          <w:rFonts w:ascii="Times New Roman" w:cs="Times New Roman" w:eastAsia="Times New Roman" w:hAnsi="Times New Roman"/>
          <w:sz w:val="16"/>
          <w:szCs w:val="16"/>
          <w:color w:val="auto"/>
        </w:rPr>
        <w:t>__________________</w:t>
      </w:r>
    </w:p>
    <w:p>
      <w:pPr>
        <w:spacing w:after="0" w:line="70"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17"/>
          <w:szCs w:val="17"/>
          <w:color w:val="auto"/>
        </w:rPr>
        <w:t>Signature of Covered Executive</w:t>
      </w:r>
      <w:r>
        <w:rPr>
          <w:sz w:val="20"/>
          <w:szCs w:val="20"/>
          <w:color w:val="auto"/>
        </w:rPr>
        <w:tab/>
      </w:r>
      <w:r>
        <w:rPr>
          <w:rFonts w:ascii="Times New Roman" w:cs="Times New Roman" w:eastAsia="Times New Roman" w:hAnsi="Times New Roman"/>
          <w:sz w:val="16"/>
          <w:szCs w:val="16"/>
          <w:color w:val="auto"/>
        </w:rPr>
        <w:t>Date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Printed Name of Covered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A-1</w:t>
      </w:r>
    </w:p>
    <w:sectPr>
      <w:pgSz w:w="11900" w:h="16838" w:orient="portrait"/>
      <w:cols w:equalWidth="0" w:num="1">
        <w:col w:w="11120"/>
      </w:cols>
      <w:pgMar w:left="380" w:top="122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x"/>
      <w:numFmt w:val="bullet"/>
      <w:start w:val="1"/>
    </w:lvl>
  </w:abstractNum>
  <w:abstractNum w:abstractNumId="1">
    <w:nsid w:val="6A2342EC"/>
    <w:multiLevelType w:val="hybridMultilevel"/>
    <w:lvl w:ilvl="0">
      <w:lvlJc w:val="left"/>
      <w:lvlText w:val="o"/>
      <w:numFmt w:val="bullet"/>
      <w:start w:val="1"/>
    </w:lvl>
  </w:abstractNum>
  <w:abstractNum w:abstractNumId="2">
    <w:nsid w:val="2A487CB0"/>
    <w:multiLevelType w:val="hybridMultilevel"/>
    <w:lvl w:ilvl="0">
      <w:lvlJc w:val="left"/>
      <w:lvlText w:val="(%1)"/>
      <w:numFmt w:val="decimal"/>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1."/>
      <w:numFmt w:val="decimal"/>
      <w:start w:val="1"/>
    </w:lvl>
    <w:lvl w:ilvl="1">
      <w:lvlJc w:val="left"/>
      <w:lvlText w:val="%2)"/>
      <w:numFmt w:val="lowerLetter"/>
      <w:start w:val="1"/>
    </w:lvl>
  </w:abstractNum>
  <w:abstractNum w:abstractNumId="7">
    <w:nsid w:val="7A6D8D3C"/>
    <w:multiLevelType w:val="hybridMultilevel"/>
    <w:lvl w:ilvl="0">
      <w:lvlJc w:val="left"/>
      <w:lvlText w:val="(%1)"/>
      <w:numFmt w:val="decimal"/>
      <w:start w:val="1"/>
    </w:lvl>
  </w:abstractNum>
  <w:abstractNum w:abstractNumId="8">
    <w:nsid w:val="4B588F54"/>
    <w:multiLevelType w:val="hybridMultilevel"/>
    <w:lvl w:ilvl="0">
      <w:lvlJc w:val="left"/>
      <w:lvlText w:val="(%1)"/>
      <w:numFmt w:val="decimal"/>
      <w:start w:val="2"/>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1)"/>
      <w:numFmt w:val="lowerRoman"/>
      <w:start w:val="2"/>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1)"/>
      <w:numFmt w:val="decimal"/>
      <w:start w:val="1"/>
    </w:lvl>
  </w:abstractNum>
  <w:abstractNum w:abstractNumId="18">
    <w:nsid w:val="1BA026FA"/>
    <w:multiLevelType w:val="hybridMultilevel"/>
    <w:lvl w:ilvl="0">
      <w:lvlJc w:val="left"/>
      <w:lvlText w:val="(%1)"/>
      <w:numFmt w:val="decimal"/>
      <w:start w:val="1"/>
    </w:lvl>
  </w:abstractNum>
  <w:abstractNum w:abstractNumId="19">
    <w:nsid w:val="79A1DEAA"/>
    <w:multiLevelType w:val="hybridMultilevel"/>
    <w:lvl w:ilvl="0">
      <w:lvlJc w:val="left"/>
      <w:lvlText w:val="(%1)"/>
      <w:numFmt w:val="decimal"/>
      <w:start w:val="1"/>
    </w:lvl>
  </w:abstractNum>
  <w:abstractNum w:abstractNumId="20">
    <w:nsid w:val="75C6C33A"/>
    <w:multiLevelType w:val="hybridMultilevel"/>
    <w:lvl w:ilvl="0">
      <w:lvlJc w:val="left"/>
      <w:lvlText w:val="(%1)"/>
      <w:numFmt w:val="decimal"/>
      <w:start w:val="1"/>
    </w:lvl>
  </w:abstractNum>
  <w:abstractNum w:abstractNumId="21">
    <w:nsid w:val="12E685FB"/>
    <w:multiLevelType w:val="hybridMultilevel"/>
    <w:lvl w:ilvl="0">
      <w:lvlJc w:val="left"/>
      <w:lvlText w:val="(%1)"/>
      <w:numFmt w:val="decimal"/>
      <w:start w:val="1"/>
    </w:lvl>
  </w:abstractNum>
  <w:abstractNum w:abstractNumId="22">
    <w:nsid w:val="70C6A529"/>
    <w:multiLevelType w:val="hybridMultilevel"/>
    <w:lvl w:ilvl="0">
      <w:lvlJc w:val="left"/>
      <w:lvlText w:val="(%1)"/>
      <w:numFmt w:val="lowerRoman"/>
      <w:start w:val="2"/>
    </w:lvl>
  </w:abstractNum>
  <w:abstractNum w:abstractNumId="23">
    <w:nsid w:val="520EEDD1"/>
    <w:multiLevelType w:val="hybridMultilevel"/>
    <w:lvl w:ilvl="0">
      <w:lvlJc w:val="left"/>
      <w:lvlText w:val="%1)"/>
      <w:numFmt w:val="decimal"/>
      <w:start w:val="1"/>
    </w:lvl>
  </w:abstractNum>
  <w:abstractNum w:abstractNumId="24">
    <w:nsid w:val="374A3FE6"/>
    <w:multiLevelType w:val="hybridMultilevel"/>
    <w:lvl w:ilvl="0">
      <w:lvlJc w:val="left"/>
      <w:lvlText w:val="%1)"/>
      <w:numFmt w:val="decimal"/>
      <w:start w:val="2"/>
    </w:lvl>
  </w:abstractNum>
  <w:abstractNum w:abstractNumId="25">
    <w:nsid w:val="4F4EF005"/>
    <w:multiLevelType w:val="hybridMultilevel"/>
    <w:lvl w:ilvl="0">
      <w:lvlJc w:val="left"/>
      <w:lvlText w:val="%1."/>
      <w:numFmt w:val="decimal"/>
      <w:start w:val="280"/>
    </w:lvl>
  </w:abstractNum>
  <w:abstractNum w:abstractNumId="26">
    <w:nsid w:val="23F9C13C"/>
    <w:multiLevelType w:val="hybridMultilevel"/>
    <w:lvl w:ilvl="0">
      <w:lvlJc w:val="left"/>
      <w:lvlText w:val="(%1)"/>
      <w:numFmt w:val="decimal"/>
      <w:start w:val="1"/>
    </w:lvl>
  </w:abstractNum>
  <w:abstractNum w:abstractNumId="27">
    <w:nsid w:val="649BB77C"/>
    <w:multiLevelType w:val="hybridMultilevel"/>
    <w:lvl w:ilvl="0">
      <w:lvlJc w:val="left"/>
      <w:lvlText w:val="(%1)"/>
      <w:numFmt w:val="decimal"/>
      <w:start w:val="1"/>
    </w:lvl>
  </w:abstractNum>
  <w:abstractNum w:abstractNumId="28">
    <w:nsid w:val="275AC794"/>
    <w:multiLevelType w:val="hybridMultilevel"/>
    <w:lvl w:ilvl="0">
      <w:lvlJc w:val="left"/>
      <w:lvlText w:val="(%1)"/>
      <w:numFmt w:val="decimal"/>
      <w:start w:val="1"/>
    </w:lvl>
  </w:abstractNum>
  <w:abstractNum w:abstractNumId="29">
    <w:nsid w:val="39386575"/>
    <w:multiLevelType w:val="hybridMultilevel"/>
    <w:lvl w:ilvl="0">
      <w:lvlJc w:val="left"/>
      <w:lvlText w:val="(%1)"/>
      <w:numFmt w:val="decimal"/>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1."/>
      <w:numFmt w:val="decimal"/>
      <w:start w:val="1"/>
    </w:lvl>
  </w:abstractNum>
  <w:abstractNum w:abstractNumId="32">
    <w:nsid w:val="235BA861"/>
    <w:multiLevelType w:val="hybridMultilevel"/>
    <w:lvl w:ilvl="0">
      <w:lvlJc w:val="left"/>
      <w:lvlText w:val="%1."/>
      <w:numFmt w:val="decimal"/>
      <w:start w:val="2"/>
    </w:lvl>
  </w:abstractNum>
  <w:abstractNum w:abstractNumId="33">
    <w:nsid w:val="47398C89"/>
    <w:multiLevelType w:val="hybridMultilevel"/>
    <w:lvl w:ilvl="0">
      <w:lvlJc w:val="left"/>
      <w:lvlText w:val="%1."/>
      <w:numFmt w:val="decimal"/>
      <w:start w:val="3"/>
    </w:lvl>
  </w:abstractNum>
  <w:abstractNum w:abstractNumId="34">
    <w:nsid w:val="354FE9F9"/>
    <w:multiLevelType w:val="hybridMultilevel"/>
    <w:lvl w:ilvl="0">
      <w:lvlJc w:val="left"/>
      <w:lvlText w:val="†"/>
      <w:numFmt w:val="bullet"/>
      <w:start w:val="1"/>
    </w:lvl>
    <w:lvl w:ilvl="1">
      <w:lvlJc w:val="left"/>
      <w:lvlText w:val="%2"/>
      <w:numFmt w:val="decimal"/>
      <w:start w:val="104"/>
    </w:lvl>
  </w:abstractNum>
  <w:abstractNum w:abstractNumId="35">
    <w:nsid w:val="15B5AF5C"/>
    <w:multiLevelType w:val="hybridMultilevel"/>
    <w:lvl w:ilvl="0">
      <w:lvlJc w:val="left"/>
      <w:lvlText w:val="%1."/>
      <w:numFmt w:val="decimal"/>
      <w:start w:val="1"/>
    </w:lvl>
  </w:abstractNum>
  <w:abstractNum w:abstractNumId="36">
    <w:nsid w:val="741226BB"/>
    <w:multiLevelType w:val="hybridMultilevel"/>
    <w:lvl w:ilvl="0">
      <w:lvlJc w:val="left"/>
      <w:lvlText w:val="%1."/>
      <w:numFmt w:val="decimal"/>
      <w:start w:val="2"/>
    </w:lvl>
  </w:abstractNum>
  <w:abstractNum w:abstractNumId="37">
    <w:nsid w:val="D34B6A8"/>
    <w:multiLevelType w:val="hybridMultilevel"/>
    <w:lvl w:ilvl="0">
      <w:lvlJc w:val="left"/>
      <w:lvlText w:val="(%1)"/>
      <w:numFmt w:val="lowerLetter"/>
      <w:start w:val="1"/>
    </w:lvl>
    <w:lvl w:ilvl="1">
      <w:lvlJc w:val="left"/>
      <w:lvlText w:val="(%2)"/>
      <w:numFmt w:val="lowerRoman"/>
      <w:start w:val="1"/>
    </w:lvl>
  </w:abstractNum>
  <w:abstractNum w:abstractNumId="38">
    <w:nsid w:val="10233C99"/>
    <w:multiLevelType w:val="hybridMultilevel"/>
    <w:lvl w:ilvl="0">
      <w:lvlJc w:val="left"/>
      <w:lvlText w:val="(%1)"/>
      <w:numFmt w:val="lowerLetter"/>
      <w:start w:val="3"/>
    </w:lvl>
  </w:abstractNum>
  <w:abstractNum w:abstractNumId="39">
    <w:nsid w:val="3F6AB60F"/>
    <w:multiLevelType w:val="hybridMultilevel"/>
    <w:lvl w:ilvl="0">
      <w:lvlJc w:val="left"/>
      <w:lvlText w:val="(%1)"/>
      <w:numFmt w:val="lowerLetter"/>
      <w:start w:val="1"/>
    </w:lvl>
  </w:abstractNum>
  <w:abstractNum w:abstractNumId="40">
    <w:nsid w:val="61574095"/>
    <w:multiLevelType w:val="hybridMultilevel"/>
    <w:lvl w:ilvl="0">
      <w:lvlJc w:val="left"/>
      <w:lvlText w:val="(%1)"/>
      <w:numFmt w:val="lowerLetter"/>
      <w:start w:val="2"/>
    </w:lvl>
  </w:abstractNum>
  <w:abstractNum w:abstractNumId="41">
    <w:nsid w:val="7E0C57B1"/>
    <w:multiLevelType w:val="hybridMultilevel"/>
    <w:lvl w:ilvl="0">
      <w:lvlJc w:val="left"/>
      <w:lvlText w:val="1"/>
      <w:numFmt w:val="bullet"/>
      <w:start w:val="1"/>
    </w:lvl>
  </w:abstractNum>
  <w:abstractNum w:abstractNumId="42">
    <w:nsid w:val="77AE35EB"/>
    <w:multiLevelType w:val="hybridMultilevel"/>
    <w:lvl w:ilvl="0">
      <w:lvlJc w:val="left"/>
      <w:lvlText w:val="(%1)"/>
      <w:numFmt w:val="lowerLetter"/>
      <w:start w:val="4"/>
    </w:lvl>
  </w:abstractNum>
  <w:abstractNum w:abstractNumId="43">
    <w:nsid w:val="579BE4F1"/>
    <w:multiLevelType w:val="hybridMultilevel"/>
    <w:lvl w:ilvl="0">
      <w:lvlJc w:val="left"/>
      <w:lvlText w:val="(%1)"/>
      <w:numFmt w:val="lowerLetter"/>
      <w:start w:val="1"/>
    </w:lvl>
  </w:abstractNum>
  <w:abstractNum w:abstractNumId="44">
    <w:nsid w:val="310C50B3"/>
    <w:multiLevelType w:val="hybridMultilevel"/>
    <w:lvl w:ilvl="0">
      <w:lvlJc w:val="left"/>
      <w:lvlText w:val="(%1)"/>
      <w:numFmt w:val="lowerLetter"/>
      <w:start w:val="2"/>
    </w:lvl>
  </w:abstractNum>
  <w:abstractNum w:abstractNumId="45">
    <w:nsid w:val="5FF87E05"/>
    <w:multiLevelType w:val="hybridMultilevel"/>
    <w:lvl w:ilvl="0">
      <w:lvlJc w:val="left"/>
      <w:lvlText w:val="(%1)"/>
      <w:numFmt w:val="lowerRoman"/>
      <w:start w:val="1"/>
    </w:lvl>
  </w:abstractNum>
  <w:abstractNum w:abstractNumId="46">
    <w:nsid w:val="2F305DEF"/>
    <w:multiLevelType w:val="hybridMultilevel"/>
    <w:lvl w:ilvl="0">
      <w:lvlJc w:val="left"/>
      <w:lvlText w:val="(%1)"/>
      <w:numFmt w:val="lowerLetter"/>
      <w:start w:val="6"/>
    </w:lvl>
  </w:abstractNum>
  <w:abstractNum w:abstractNumId="47">
    <w:nsid w:val="25A70BF7"/>
    <w:multiLevelType w:val="hybridMultilevel"/>
    <w:lvl w:ilvl="0">
      <w:lvlJc w:val="left"/>
      <w:lvlText w:val="(%1)"/>
      <w:numFmt w:val="lowerLetter"/>
      <w:start w:val="1"/>
    </w:lvl>
  </w:abstractNum>
  <w:abstractNum w:abstractNumId="48">
    <w:nsid w:val="1DBABF00"/>
    <w:multiLevelType w:val="hybridMultilevel"/>
    <w:lvl w:ilvl="0">
      <w:lvlJc w:val="left"/>
      <w:lvlText w:val="%1"/>
      <w:numFmt w:val="lowerLetter"/>
      <w:start w:val="1"/>
    </w:lvl>
    <w:lvl w:ilvl="1">
      <w:lvlJc w:val="left"/>
      <w:lvlText w:val="(%2)"/>
      <w:numFmt w:val="lowerLetter"/>
      <w:start w:val="1"/>
    </w:lvl>
  </w:abstractNum>
  <w:abstractNum w:abstractNumId="49">
    <w:nsid w:val="4AD084E9"/>
    <w:multiLevelType w:val="hybridMultilevel"/>
    <w:lvl w:ilvl="0">
      <w:lvlJc w:val="left"/>
      <w:lvlText w:val="(%1)"/>
      <w:numFmt w:val="lowerLetter"/>
      <w:start w:val="2"/>
    </w:lvl>
    <w:lvl w:ilvl="1">
      <w:lvlJc w:val="left"/>
      <w:lvlText w:val="(%2)"/>
      <w:numFmt w:val="lowerLetter"/>
      <w:start w:val="3"/>
    </w:lvl>
  </w:abstractNum>
  <w:abstractNum w:abstractNumId="50">
    <w:nsid w:val="1F48EAA1"/>
    <w:multiLevelType w:val="hybridMultilevel"/>
    <w:lvl w:ilvl="0">
      <w:lvlJc w:val="left"/>
      <w:lvlText w:val="(%1)"/>
      <w:numFmt w:val="lowerLetter"/>
      <w:start w:val="4"/>
    </w:lvl>
  </w:abstractNum>
  <w:abstractNum w:abstractNumId="51">
    <w:nsid w:val="1381823A"/>
    <w:multiLevelType w:val="hybridMultilevel"/>
    <w:lvl w:ilvl="0">
      <w:lvlJc w:val="left"/>
      <w:lvlText w:val="(%1)"/>
      <w:numFmt w:val="lowerLetter"/>
      <w:start w:val="1"/>
    </w:lvl>
  </w:abstractNum>
  <w:abstractNum w:abstractNumId="52">
    <w:nsid w:val="5DB70AE5"/>
    <w:multiLevelType w:val="hybridMultilevel"/>
    <w:lvl w:ilvl="0">
      <w:lvlJc w:val="left"/>
      <w:lvlText w:val="(%1)"/>
      <w:numFmt w:val="lowerLetter"/>
      <w:start w:val="1"/>
    </w:lvl>
  </w:abstractNum>
  <w:abstractNum w:abstractNumId="53">
    <w:nsid w:val="100F8FCA"/>
    <w:multiLevelType w:val="hybridMultilevel"/>
    <w:lvl w:ilvl="0">
      <w:lvlJc w:val="left"/>
      <w:lvlText w:val="(%1)"/>
      <w:numFmt w:val="lowerLetter"/>
      <w:start w:val="1"/>
    </w:lvl>
  </w:abstractNum>
  <w:abstractNum w:abstractNumId="54">
    <w:nsid w:val="6590700B"/>
    <w:multiLevelType w:val="hybridMultilevel"/>
    <w:lvl w:ilvl="0">
      <w:lvlJc w:val="left"/>
      <w:lvlText w:val="(%1)"/>
      <w:numFmt w:val="lowerLetter"/>
      <w:start w:val="1"/>
    </w:lvl>
  </w:abstractNum>
  <w:abstractNum w:abstractNumId="55">
    <w:nsid w:val="15014ACB"/>
    <w:multiLevelType w:val="hybridMultilevel"/>
    <w:lvl w:ilvl="0">
      <w:lvlJc w:val="left"/>
      <w:lvlText w:val="(%1)"/>
      <w:numFmt w:val="lowerLetter"/>
      <w:start w:val="2"/>
    </w:lvl>
  </w:abstractNum>
  <w:abstractNum w:abstractNumId="56">
    <w:nsid w:val="5F5E7FD0"/>
    <w:multiLevelType w:val="hybridMultilevel"/>
    <w:lvl w:ilvl="0">
      <w:lvlJc w:val="left"/>
      <w:lvlText w:val="(%1)"/>
      <w:numFmt w:val="lowerLetter"/>
      <w:start w:val="1"/>
    </w:lvl>
  </w:abstractNum>
  <w:abstractNum w:abstractNumId="57">
    <w:nsid w:val="98A3148"/>
    <w:multiLevelType w:val="hybridMultilevel"/>
    <w:lvl w:ilvl="0">
      <w:lvlJc w:val="left"/>
      <w:lvlText w:val="(%1)"/>
      <w:numFmt w:val="lowerLetter"/>
      <w:start w:val="2"/>
    </w:lvl>
    <w:lvl w:ilvl="1">
      <w:lvlJc w:val="left"/>
      <w:lvlText w:val="(%2)"/>
      <w:numFmt w:val="lowerRoman"/>
      <w:start w:val="1"/>
    </w:lvl>
  </w:abstractNum>
  <w:abstractNum w:abstractNumId="58">
    <w:nsid w:val="799D0247"/>
    <w:multiLevelType w:val="hybridMultilevel"/>
    <w:lvl w:ilvl="0">
      <w:lvlJc w:val="left"/>
      <w:lvlText w:val="(%1)"/>
      <w:numFmt w:val="lowerLetter"/>
      <w:start w:val="1"/>
    </w:lvl>
  </w:abstractNum>
  <w:abstractNum w:abstractNumId="59">
    <w:nsid w:val="6B94764"/>
    <w:multiLevelType w:val="hybridMultilevel"/>
    <w:lvl w:ilvl="0">
      <w:lvlJc w:val="left"/>
      <w:lvlText w:val="(%1)"/>
      <w:numFmt w:val="lowerLetter"/>
      <w:start w:val="3"/>
    </w:lvl>
  </w:abstractNum>
  <w:abstractNum w:abstractNumId="60">
    <w:nsid w:val="42C296BD"/>
    <w:multiLevelType w:val="hybridMultilevel"/>
    <w:lvl w:ilvl="0">
      <w:lvlJc w:val="left"/>
      <w:lvlText w:val="(%1)"/>
      <w:numFmt w:val="lowerLetter"/>
      <w:start w:val="6"/>
    </w:lvl>
  </w:abstractNum>
  <w:abstractNum w:abstractNumId="61">
    <w:nsid w:val="168E121F"/>
    <w:multiLevelType w:val="hybridMultilevel"/>
    <w:lvl w:ilvl="0">
      <w:lvlJc w:val="left"/>
      <w:lvlText w:val="(%1)"/>
      <w:numFmt w:val="lowerLetter"/>
      <w:start w:val="1"/>
    </w:lvl>
    <w:lvl w:ilvl="1">
      <w:lvlJc w:val="left"/>
      <w:lvlText w:val="(%2)"/>
      <w:numFmt w:val="lowerRoman"/>
      <w:start w:val="1"/>
    </w:lvl>
  </w:abstractNum>
  <w:abstractNum w:abstractNumId="62">
    <w:nsid w:val="1EBA5D23"/>
    <w:multiLevelType w:val="hybridMultilevel"/>
    <w:lvl w:ilvl="0">
      <w:lvlJc w:val="left"/>
      <w:lvlText w:val="(%1)"/>
      <w:numFmt w:val="lowerLetter"/>
      <w:start w:val="4"/>
    </w:lvl>
  </w:abstractNum>
  <w:abstractNum w:abstractNumId="63">
    <w:nsid w:val="661E3F1E"/>
    <w:multiLevelType w:val="hybridMultilevel"/>
    <w:lvl w:ilvl="0">
      <w:lvlJc w:val="left"/>
      <w:lvlText w:val="(%1)"/>
      <w:numFmt w:val="lowerLetter"/>
      <w:start w:val="1"/>
    </w:lvl>
  </w:abstractNum>
  <w:abstractNum w:abstractNumId="64">
    <w:nsid w:val="5DC79EA8"/>
    <w:multiLevelType w:val="hybridMultilevel"/>
    <w:lvl w:ilvl="0">
      <w:lvlJc w:val="left"/>
      <w:lvlText w:val="(%1)"/>
      <w:numFmt w:val="lowerLetter"/>
      <w:start w:val="1"/>
    </w:lvl>
  </w:abstractNum>
  <w:abstractNum w:abstractNumId="65">
    <w:nsid w:val="540A471C"/>
    <w:multiLevelType w:val="hybridMultilevel"/>
    <w:lvl w:ilvl="0">
      <w:lvlJc w:val="left"/>
      <w:lvlText w:val="(%1)"/>
      <w:numFmt w:val="lowerLetter"/>
      <w:start w:val="1"/>
    </w:lvl>
  </w:abstractNum>
  <w:abstractNum w:abstractNumId="66">
    <w:nsid w:val="7BD3EE7B"/>
    <w:multiLevelType w:val="hybridMultilevel"/>
    <w:lvl w:ilvl="0">
      <w:lvlJc w:val="left"/>
      <w:lvlText w:val="(%1)"/>
      <w:numFmt w:val="lowerLetter"/>
      <w:start w:val="1"/>
    </w:lvl>
  </w:abstractNum>
  <w:abstractNum w:abstractNumId="67">
    <w:nsid w:val="51D9C564"/>
    <w:multiLevelType w:val="hybridMultilevel"/>
    <w:lvl w:ilvl="0">
      <w:lvlJc w:val="left"/>
      <w:lvlText w:val="(%1)"/>
      <w:numFmt w:val="lowerLetter"/>
      <w:start w:val="1"/>
    </w:lvl>
  </w:abstractNum>
  <w:abstractNum w:abstractNumId="68">
    <w:nsid w:val="613EFDC5"/>
    <w:multiLevelType w:val="hybridMultilevel"/>
    <w:lvl w:ilvl="0">
      <w:lvlJc w:val="left"/>
      <w:lvlText w:val="(%1)"/>
      <w:numFmt w:val="lowerLetter"/>
      <w:start w:val="1"/>
    </w:lvl>
  </w:abstractNum>
  <w:abstractNum w:abstractNumId="69">
    <w:nsid w:val="BF72B14"/>
    <w:multiLevelType w:val="hybridMultilevel"/>
    <w:lvl w:ilvl="0">
      <w:lvlJc w:val="left"/>
      <w:lvlText w:val="(%1)"/>
      <w:numFmt w:val="lowerLetter"/>
      <w:start w:val="1"/>
    </w:lvl>
  </w:abstractNum>
  <w:abstractNum w:abstractNumId="70">
    <w:nsid w:val="11447B73"/>
    <w:multiLevelType w:val="hybridMultilevel"/>
    <w:lvl w:ilvl="0">
      <w:lvlJc w:val="left"/>
      <w:lvlText w:val="%1)"/>
      <w:numFmt w:val="decimal"/>
      <w:start w:val="1"/>
    </w:lvl>
    <w:lvl w:ilvl="1">
      <w:lvlJc w:val="left"/>
      <w:lvlText w:val="%2)"/>
      <w:numFmt w:val="lowerLetter"/>
      <w:start w:val="1"/>
    </w:lvl>
  </w:abstractNum>
  <w:abstractNum w:abstractNumId="71">
    <w:nsid w:val="42963E5A"/>
    <w:multiLevelType w:val="hybridMultilevel"/>
    <w:lvl w:ilvl="0">
      <w:lvlJc w:val="left"/>
      <w:lvlText w:val="%1)"/>
      <w:numFmt w:val="decimal"/>
      <w:start w:val="1"/>
    </w:lvl>
    <w:lvl w:ilvl="1">
      <w:lvlJc w:val="left"/>
      <w:lvlText w:val="%2)"/>
      <w:numFmt w:val="lowerLetter"/>
      <w:start w:val="1"/>
    </w:lvl>
  </w:abstractNum>
  <w:abstractNum w:abstractNumId="72">
    <w:nsid w:val="A0382C5"/>
    <w:multiLevelType w:val="hybridMultilevel"/>
    <w:lvl w:ilvl="0">
      <w:lvlJc w:val="left"/>
      <w:lvlText w:val="%1)"/>
      <w:numFmt w:val="decimal"/>
      <w:start w:val="1"/>
    </w:lvl>
  </w:abstractNum>
  <w:abstractNum w:abstractNumId="73">
    <w:nsid w:val="8F2B15E"/>
    <w:multiLevelType w:val="hybridMultilevel"/>
    <w:lvl w:ilvl="0">
      <w:lvlJc w:val="left"/>
      <w:lvlText w:val="%1)"/>
      <w:numFmt w:val="decimal"/>
      <w:start w:val="1"/>
    </w:lvl>
  </w:abstractNum>
  <w:abstractNum w:abstractNumId="74">
    <w:nsid w:val="1A32234B"/>
    <w:multiLevelType w:val="hybridMultilevel"/>
    <w:lvl w:ilvl="0">
      <w:lvlJc w:val="left"/>
      <w:lvlText w:val="%1."/>
      <w:numFmt w:val="decimal"/>
      <w:start w:val="1"/>
    </w:lvl>
    <w:lvl w:ilvl="1">
      <w:lvlJc w:val="left"/>
      <w:lvlText w:val="%2."/>
      <w:numFmt w:val="lowerLetter"/>
      <w:start w:val="1"/>
    </w:lvl>
  </w:abstractNum>
  <w:abstractNum w:abstractNumId="75">
    <w:nsid w:val="3B0FD379"/>
    <w:multiLevelType w:val="hybridMultilevel"/>
    <w:lvl w:ilvl="0">
      <w:lvlJc w:val="left"/>
      <w:lvlText w:val="%1."/>
      <w:numFmt w:val="lowerLetter"/>
      <w:start w:val="8"/>
    </w:lvl>
  </w:abstractNum>
  <w:abstractNum w:abstractNumId="76">
    <w:nsid w:val="68EB2F63"/>
    <w:multiLevelType w:val="hybridMultilevel"/>
    <w:lvl w:ilvl="0">
      <w:lvlJc w:val="left"/>
      <w:lvlText w:val="%1"/>
      <w:numFmt w:val="decimal"/>
      <w:start w:val="1"/>
    </w:lvl>
    <w:lvl w:ilvl="1">
      <w:lvlJc w:val="left"/>
      <w:lvlText w:val="%2."/>
      <w:numFmt w:val="lowerLetter"/>
      <w:start w:val="15"/>
    </w:lvl>
  </w:abstractNum>
  <w:abstractNum w:abstractNumId="77">
    <w:nsid w:val="4962813B"/>
    <w:multiLevelType w:val="hybridMultilevel"/>
    <w:lvl w:ilvl="0">
      <w:lvlJc w:val="left"/>
      <w:lvlText w:val="%1."/>
      <w:numFmt w:val="decimal"/>
      <w:start w:val="3"/>
    </w:lvl>
    <w:lvl w:ilvl="1">
      <w:lvlJc w:val="left"/>
      <w:lvlText w:val="%2"/>
      <w:numFmt w:val="lowerLetter"/>
      <w:start w:val="1"/>
    </w:lvl>
  </w:abstractNum>
  <w:abstractNum w:abstractNumId="78">
    <w:nsid w:val="60B6DF7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79">
    <w:nsid w:val="6A5EE64"/>
    <w:multiLevelType w:val="hybridMultilevel"/>
    <w:lvl w:ilvl="0">
      <w:lvlJc w:val="left"/>
      <w:lvlText w:val="%1"/>
      <w:numFmt w:val="decimal"/>
      <w:start w:val="1"/>
    </w:lvl>
    <w:lvl w:ilvl="1">
      <w:lvlJc w:val="left"/>
      <w:lvlText w:val="%2."/>
      <w:numFmt w:val="lowerLetter"/>
      <w:start w:val="3"/>
    </w:lvl>
  </w:abstractNum>
  <w:abstractNum w:abstractNumId="80">
    <w:nsid w:val="14330624"/>
    <w:multiLevelType w:val="hybridMultilevel"/>
    <w:lvl w:ilvl="0">
      <w:lvlJc w:val="left"/>
      <w:lvlText w:val="%1."/>
      <w:numFmt w:val="decimal"/>
      <w:start w:val="8"/>
    </w:lvl>
    <w:lvl w:ilvl="1">
      <w:lvlJc w:val="left"/>
      <w:lvlText w:val="%2"/>
      <w:numFmt w:val="lowerLetter"/>
      <w:start w:val="1"/>
    </w:lvl>
  </w:abstractNum>
  <w:abstractNum w:abstractNumId="81">
    <w:nsid w:val="7FFFCA11"/>
    <w:multiLevelType w:val="hybridMultilevel"/>
    <w:lvl w:ilvl="0">
      <w:lvlJc w:val="left"/>
      <w:lvlText w:val="%1."/>
      <w:numFmt w:val="decimal"/>
      <w:start w:val="12"/>
    </w:lvl>
  </w:abstractNum>
  <w:abstractNum w:abstractNumId="82">
    <w:nsid w:val="1A27709E"/>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png"/><Relationship Id="rId182"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png"/><Relationship Id="rId190"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193" Type="http://schemas.openxmlformats.org/officeDocument/2006/relationships/image" Target="media/image169.png"/><Relationship Id="rId194" Type="http://schemas.openxmlformats.org/officeDocument/2006/relationships/image" Target="media/image170.png"/><Relationship Id="rId195" Type="http://schemas.openxmlformats.org/officeDocument/2006/relationships/image" Target="media/image171.png"/><Relationship Id="rId196" Type="http://schemas.openxmlformats.org/officeDocument/2006/relationships/image" Target="media/image172.png"/><Relationship Id="rId197" Type="http://schemas.openxmlformats.org/officeDocument/2006/relationships/image" Target="media/image173.png"/><Relationship Id="rId198" Type="http://schemas.openxmlformats.org/officeDocument/2006/relationships/image" Target="media/image174.png"/><Relationship Id="rId199" Type="http://schemas.openxmlformats.org/officeDocument/2006/relationships/image" Target="media/image175.png"/><Relationship Id="rId200" Type="http://schemas.openxmlformats.org/officeDocument/2006/relationships/image" Target="media/image176.png"/><Relationship Id="rId201" Type="http://schemas.openxmlformats.org/officeDocument/2006/relationships/image" Target="media/image177.png"/><Relationship Id="rId202" Type="http://schemas.openxmlformats.org/officeDocument/2006/relationships/image" Target="media/image178.png"/><Relationship Id="rId203" Type="http://schemas.openxmlformats.org/officeDocument/2006/relationships/image" Target="media/image179.png"/><Relationship Id="rId204" Type="http://schemas.openxmlformats.org/officeDocument/2006/relationships/image" Target="media/image180.png"/><Relationship Id="rId205" Type="http://schemas.openxmlformats.org/officeDocument/2006/relationships/image" Target="media/image181.png"/><Relationship Id="rId206" Type="http://schemas.openxmlformats.org/officeDocument/2006/relationships/image" Target="media/image182.png"/><Relationship Id="rId207" Type="http://schemas.openxmlformats.org/officeDocument/2006/relationships/image" Target="media/image183.png"/><Relationship Id="rId208" Type="http://schemas.openxmlformats.org/officeDocument/2006/relationships/image" Target="media/image184.png"/><Relationship Id="rId209" Type="http://schemas.openxmlformats.org/officeDocument/2006/relationships/image" Target="media/image185.png"/><Relationship Id="rId210"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213" Type="http://schemas.openxmlformats.org/officeDocument/2006/relationships/image" Target="media/image189.png"/><Relationship Id="rId214" Type="http://schemas.openxmlformats.org/officeDocument/2006/relationships/image" Target="media/image190.png"/><Relationship Id="rId215" Type="http://schemas.openxmlformats.org/officeDocument/2006/relationships/image" Target="media/image191.png"/><Relationship Id="rId216" Type="http://schemas.openxmlformats.org/officeDocument/2006/relationships/image" Target="media/image192.png"/><Relationship Id="rId217" Type="http://schemas.openxmlformats.org/officeDocument/2006/relationships/image" Target="media/image193.png"/><Relationship Id="rId218" Type="http://schemas.openxmlformats.org/officeDocument/2006/relationships/image" Target="media/image194.png"/><Relationship Id="rId219" Type="http://schemas.openxmlformats.org/officeDocument/2006/relationships/image" Target="media/image195.png"/><Relationship Id="rId220" Type="http://schemas.openxmlformats.org/officeDocument/2006/relationships/image" Target="media/image196.png"/><Relationship Id="rId221" Type="http://schemas.openxmlformats.org/officeDocument/2006/relationships/image" Target="media/image197.png"/><Relationship Id="rId222" Type="http://schemas.openxmlformats.org/officeDocument/2006/relationships/image" Target="media/image198.png"/><Relationship Id="rId223" Type="http://schemas.openxmlformats.org/officeDocument/2006/relationships/image" Target="media/image199.png"/><Relationship Id="rId224" Type="http://schemas.openxmlformats.org/officeDocument/2006/relationships/image" Target="media/image200.png"/><Relationship Id="rId225" Type="http://schemas.openxmlformats.org/officeDocument/2006/relationships/image" Target="media/image201.png"/><Relationship Id="rId226" Type="http://schemas.openxmlformats.org/officeDocument/2006/relationships/image" Target="media/image202.png"/><Relationship Id="rId227" Type="http://schemas.openxmlformats.org/officeDocument/2006/relationships/image" Target="media/image203.png"/><Relationship Id="rId228" Type="http://schemas.openxmlformats.org/officeDocument/2006/relationships/image" Target="media/image204.png"/><Relationship Id="rId229" Type="http://schemas.openxmlformats.org/officeDocument/2006/relationships/image" Target="media/image205.png"/><Relationship Id="rId230" Type="http://schemas.openxmlformats.org/officeDocument/2006/relationships/image" Target="media/image206.png"/><Relationship Id="rId231" Type="http://schemas.openxmlformats.org/officeDocument/2006/relationships/image" Target="media/image207.png"/><Relationship Id="rId232" Type="http://schemas.openxmlformats.org/officeDocument/2006/relationships/image" Target="media/image208.png"/><Relationship Id="rId233" Type="http://schemas.openxmlformats.org/officeDocument/2006/relationships/image" Target="media/image209.png"/><Relationship Id="rId234" Type="http://schemas.openxmlformats.org/officeDocument/2006/relationships/image" Target="media/image210.png"/><Relationship Id="rId235" Type="http://schemas.openxmlformats.org/officeDocument/2006/relationships/image" Target="media/image211.png"/><Relationship Id="rId236" Type="http://schemas.openxmlformats.org/officeDocument/2006/relationships/image" Target="media/image212.png"/><Relationship Id="rId237" Type="http://schemas.openxmlformats.org/officeDocument/2006/relationships/image" Target="media/image213.png"/><Relationship Id="rId238" Type="http://schemas.openxmlformats.org/officeDocument/2006/relationships/image" Target="media/image214.png"/><Relationship Id="rId239" Type="http://schemas.openxmlformats.org/officeDocument/2006/relationships/image" Target="media/image215.png"/><Relationship Id="rId240" Type="http://schemas.openxmlformats.org/officeDocument/2006/relationships/image" Target="media/image216.png"/><Relationship Id="rId130" Type="http://schemas.openxmlformats.org/officeDocument/2006/relationships/hyperlink" Target="https://www.sec.gov/Archives/edgar/data/1903508/000162828025044817/pphc-sx1.htm" TargetMode="External"/><Relationship Id="rId131" Type="http://schemas.openxmlformats.org/officeDocument/2006/relationships/hyperlink" Target="https://www.sec.gov/Archives/edgar/data/1903508/000162828025044817/exhibit101-sx1.htm" TargetMode="External"/><Relationship Id="rId132" Type="http://schemas.openxmlformats.org/officeDocument/2006/relationships/hyperlink" Target="https://www.sec.gov/Archives/edgar/data/1903508/000162828025044817/exhibit102-sx1.htm" TargetMode="External"/><Relationship Id="rId133" Type="http://schemas.openxmlformats.org/officeDocument/2006/relationships/hyperlink" Target="https://www.sec.gov/Archives/edgar/data/1903508/000162828025044817/exhibit103-sx1.htm" TargetMode="External"/><Relationship Id="rId134" Type="http://schemas.openxmlformats.org/officeDocument/2006/relationships/hyperlink" Target="https://www.sec.gov/Archives/edgar/data/1903508/000162828025044817/exhibit104-sx1.htm" TargetMode="External"/><Relationship Id="rId135" Type="http://schemas.openxmlformats.org/officeDocument/2006/relationships/hyperlink" Target="https://www.sec.gov/Archives/edgar/data/1903508/000162828025044817/exhibit105-sx1.htm" TargetMode="External"/><Relationship Id="rId136" Type="http://schemas.openxmlformats.org/officeDocument/2006/relationships/hyperlink" Target="https://www.sec.gov/Archives/edgar/data/1903508/000162828025044817/exhibit106-sx1.htm" TargetMode="External"/><Relationship Id="rId137" Type="http://schemas.openxmlformats.org/officeDocument/2006/relationships/hyperlink" Target="https://www.sec.gov/Archives/edgar/data/1903508/000162828025044817/exhibit107-sx1.htm" TargetMode="External"/><Relationship Id="rId138" Type="http://schemas.openxmlformats.org/officeDocument/2006/relationships/hyperlink" Target="https://www.sec.gov/Archives/edgar/data/1903508/000162828025044817/exhibit108-sx1.htm" TargetMode="External"/><Relationship Id="rId139" Type="http://schemas.openxmlformats.org/officeDocument/2006/relationships/hyperlink" Target="https://www.sec.gov/Archives/edgar/data/1903508/000162828025044817/exhibit109-sx1.htm" TargetMode="External"/><Relationship Id="rId140" Type="http://schemas.openxmlformats.org/officeDocument/2006/relationships/hyperlink" Target="https://www.sec.gov/Archives/edgar/data/1903508/000162828025044817/exhibit1010-sx1.htm" TargetMode="External"/><Relationship Id="rId143" Type="http://schemas.openxmlformats.org/officeDocument/2006/relationships/hyperlink" Target="https://www.sec.gov/Archives/edgar/data/1903508/000162828025044817/exhibit1011-sx1.htm" TargetMode="External"/><Relationship Id="rId144" Type="http://schemas.openxmlformats.org/officeDocument/2006/relationships/hyperlink" Target="https://www.sec.gov/Archives/edgar/data/1903508/000162828025044817/exhibit1012-sx1.htm" TargetMode="External"/><Relationship Id="rId145" Type="http://schemas.openxmlformats.org/officeDocument/2006/relationships/hyperlink" Target="https://www.sec.gov/Archives/edgar/data/1903508/000162828025044817/exhibit1013-sx1.htm" TargetMode="External"/><Relationship Id="rId146" Type="http://schemas.openxmlformats.org/officeDocument/2006/relationships/hyperlink" Target="https://www.sec.gov/Archives/edgar/data/1903508/000162828025044817/exhibit1014-sx1.htm" TargetMode="External"/><Relationship Id="rId147" Type="http://schemas.openxmlformats.org/officeDocument/2006/relationships/hyperlink" Target="https://www.sec.gov/Archives/edgar/data/1903508/000162828025044817/exhibit1015-sx1.htm" TargetMode="External"/><Relationship Id="rId148" Type="http://schemas.openxmlformats.org/officeDocument/2006/relationships/hyperlink" Target="https://www.sec.gov/Archives/edgar/data/1903508/000162828025044817/exhibit211-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2026-03-31T15:39:21Z</dcterms:created>
  <dcterms:modified xsi:type="dcterms:W3CDTF">2026-03-31T15:39:21Z</dcterms:modified>
</cp:coreProperties>
</file>