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(Amendment No.1)</w:t>
      </w:r>
    </w:p>
    <w:p>
      <w:pPr>
        <w:spacing w:after="0" w:line="1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920" w:right="2100" w:hanging="3894"/>
        <w:spacing w:after="0" w:line="406" w:lineRule="auto"/>
        <w:tabs>
          <w:tab w:leader="none" w:pos="358"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Wingdings" w:cs="Wingdings" w:eastAsia="Wingdings" w:hAnsi="Wingdings"/>
          <w:sz w:val="18"/>
          <w:szCs w:val="18"/>
          <w:b w:val="1"/>
          <w:bCs w:val="1"/>
          <w:color w:val="auto"/>
          <w:highlight w:val="black"/>
        </w:rPr>
      </w:pPr>
    </w:p>
    <w:p>
      <w:pPr>
        <w:ind w:left="548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OR</w:t>
      </w:r>
    </w:p>
    <w:p>
      <w:pPr>
        <w:spacing w:after="0" w:line="64"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36"/>
          <w:szCs w:val="36"/>
          <w:b w:val="1"/>
          <w:bCs w:val="1"/>
          <w:color w:val="auto"/>
          <w:highlight w:val="black"/>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001-43077</w:t>
      </w:r>
    </w:p>
    <w:p>
      <w:pPr>
        <w:spacing w:after="0" w:line="17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Public Policy Holding Company,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9"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66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87-3557229</w:t>
            </w:r>
          </w:p>
        </w:tc>
      </w:tr>
      <w:tr>
        <w:trPr>
          <w:trHeight w:val="252"/>
        </w:trPr>
        <w:tc>
          <w:tcPr>
            <w:tcW w:w="66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00" w:type="dxa"/>
            <w:vAlign w:val="bottom"/>
          </w:tcPr>
          <w:p>
            <w:pPr>
              <w:jc w:val="center"/>
              <w:ind w:right="2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660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800 North Capitol Street NW, Washington, DC</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20002</w:t>
            </w:r>
          </w:p>
        </w:tc>
      </w:tr>
      <w:tr>
        <w:trPr>
          <w:trHeight w:val="270"/>
        </w:trPr>
        <w:tc>
          <w:tcPr>
            <w:tcW w:w="660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19"/>
        </w:trPr>
        <w:tc>
          <w:tcPr>
            <w:tcW w:w="660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(202) 688-0020</w:t>
            </w:r>
          </w:p>
        </w:tc>
        <w:tc>
          <w:tcPr>
            <w:tcW w:w="1480" w:type="dxa"/>
            <w:vAlign w:val="bottom"/>
          </w:tcPr>
          <w:p>
            <w:pPr>
              <w:spacing w:after="0"/>
              <w:rPr>
                <w:sz w:val="24"/>
                <w:szCs w:val="24"/>
                <w:color w:val="auto"/>
              </w:rPr>
            </w:pPr>
          </w:p>
        </w:tc>
      </w:tr>
      <w:tr>
        <w:trPr>
          <w:trHeight w:val="234"/>
        </w:trPr>
        <w:tc>
          <w:tcPr>
            <w:tcW w:w="6600" w:type="dxa"/>
            <w:vAlign w:val="bottom"/>
          </w:tcPr>
          <w:p>
            <w:pPr>
              <w:jc w:val="center"/>
              <w:ind w:left="2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80" w:type="dxa"/>
            <w:vAlign w:val="bottom"/>
          </w:tcPr>
          <w:p>
            <w:pPr>
              <w:spacing w:after="0"/>
              <w:rPr>
                <w:sz w:val="20"/>
                <w:szCs w:val="20"/>
                <w:color w:val="auto"/>
              </w:rPr>
            </w:pPr>
          </w:p>
        </w:tc>
      </w:tr>
    </w:tbl>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63"/>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PPHC</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w:t>
            </w:r>
          </w:p>
        </w:tc>
      </w:tr>
      <w:tr>
        <w:trPr>
          <w:trHeight w:val="277"/>
        </w:trPr>
        <w:tc>
          <w:tcPr>
            <w:tcW w:w="450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r>
      <w:tr>
        <w:trPr>
          <w:trHeight w:val="277"/>
        </w:trPr>
        <w:tc>
          <w:tcPr>
            <w:tcW w:w="450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52"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64"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83"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4"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334"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7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9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740"/>
              <w:spacing w:after="0"/>
              <w:rPr>
                <w:sz w:val="20"/>
                <w:szCs w:val="20"/>
                <w:color w:val="auto"/>
              </w:rPr>
            </w:pPr>
            <w:r>
              <w:rPr>
                <w:rFonts w:ascii="Wingdings" w:cs="Wingdings" w:eastAsia="Wingdings" w:hAnsi="Wingdings"/>
                <w:sz w:val="18"/>
                <w:szCs w:val="18"/>
                <w:b w:val="1"/>
                <w:bCs w:val="1"/>
                <w:color w:val="auto"/>
              </w:rPr>
              <w:t>x</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486"/>
        </w:trPr>
        <w:tc>
          <w:tcPr>
            <w:tcW w:w="2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3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40"/>
        <w:spacing w:after="0" w:line="238" w:lineRule="auto"/>
        <w:rPr>
          <w:sz w:val="20"/>
          <w:szCs w:val="20"/>
          <w:color w:val="auto"/>
        </w:rPr>
      </w:pPr>
      <w:r>
        <w:rPr>
          <w:rFonts w:ascii="Wingdings" w:cs="Wingdings" w:eastAsia="Wingdings" w:hAnsi="Wingdings"/>
          <w:sz w:val="18"/>
          <w:szCs w:val="18"/>
          <w:b w:val="1"/>
          <w:bCs w:val="1"/>
          <w:color w:val="auto"/>
        </w:rPr>
        <w:t>x</w:t>
      </w:r>
    </w:p>
    <w:p>
      <w:pPr>
        <w:ind w:right="20"/>
        <w:spacing w:after="0" w:line="225"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ectiveness of its internal control over financial reporting under Section 404(b) of the Sarbanes-Oxley Act (15 U.S.C. 7262(b)) by the registered public accounting firm that prepared or</w:t>
      </w:r>
    </w:p>
    <w:p>
      <w:pPr>
        <w:spacing w:after="0" w:line="2"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Arial Unicode MS" w:cs="Arial Unicode MS" w:eastAsia="Arial Unicode MS" w:hAnsi="Arial Unicode MS"/>
          <w:sz w:val="18"/>
          <w:szCs w:val="18"/>
          <w:color w:val="auto"/>
        </w:rPr>
        <w:t>☐</w:t>
      </w:r>
    </w:p>
    <w:p>
      <w:pPr>
        <w:spacing w:after="0" w:line="240" w:lineRule="exact"/>
        <w:rPr>
          <w:sz w:val="20"/>
          <w:szCs w:val="20"/>
          <w:color w:val="auto"/>
        </w:rPr>
      </w:pPr>
    </w:p>
    <w:p>
      <w:pPr>
        <w:ind w:right="300"/>
        <w:spacing w:after="0" w:line="329"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x</w:t>
      </w:r>
    </w:p>
    <w:p>
      <w:pPr>
        <w:spacing w:after="0" w:line="1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x</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7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69" w:lineRule="exact"/>
        <w:rPr>
          <w:sz w:val="20"/>
          <w:szCs w:val="20"/>
          <w:color w:val="auto"/>
        </w:rPr>
      </w:pPr>
    </w:p>
    <w:p>
      <w:pPr>
        <w:jc w:val="both"/>
        <w:ind w:right="460"/>
        <w:spacing w:after="0" w:line="250"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January 29, 2026 was approximately $242,553,173.The registrant has elected to use January 29, 2026 as the calculation date because on June 30, 2025 (the last business day of the registrant’s most recently completed second fiscal quarter) there was no established US public market for the registrant’s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24, 2026, Public Policy Holding Company, Inc. had 28,928,777 shares of common stock outstanding.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Public Policy Holding Company, Inc. (the "Company") is filing this Amendment No. 1 on Form 10-K/A (“Amendment No. 1”) to its Annual Report on Form 10-K for the year ended December 31, 2025, originally filed on March 31, 2026 (the "Original Filing") solely to (i) check the “Smaller Reporting Company” box on the cover page and (ii) correct the disclosed public float figure on the cover page.</w:t>
      </w:r>
    </w:p>
    <w:p>
      <w:pPr>
        <w:spacing w:after="0" w:line="20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No other changes have been made to the Original Filing. Except where otherwise indicated, this Amendment No. 1 to the Form 10-K speaks as of the filing date of the Original Filing, does not reflect events that may have occurred subsequent to the date of the Original Filing and, except as described above, does not modify or update in any way disclosures made in</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 Original Filing. Accordingly, this Amendment No. 1 should be read in conjunction with the Original Filing, and with our other filings with the SEC subsequent to the filing of the Original Filing.</w:t>
      </w:r>
    </w:p>
    <w:p>
      <w:pPr>
        <w:spacing w:after="0" w:line="2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required by Rule 12b-15 under the Securities Exchange Act of 1934, as amended (the “Exchange Act”), new certifications by the Company’s principal executive officer and principal financial officer are filed herewith as exhibits to this Amendment No. 1. The Company is not including certifications pursuant to Section 1350 of Chapter 63 of Title 18 of the United States Code (18 U.S.C. 1350) as no financial statements are being filed with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040" w:type="dxa"/>
            <w:vAlign w:val="bottom"/>
            <w:gridSpan w:val="25"/>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1"/>
        </w:trPr>
        <w:tc>
          <w:tcPr>
            <w:tcW w:w="20" w:type="dxa"/>
            <w:vAlign w:val="bottom"/>
          </w:tcPr>
          <w:p>
            <w:pPr>
              <w:spacing w:after="0"/>
              <w:rPr>
                <w:sz w:val="24"/>
                <w:szCs w:val="24"/>
                <w:color w:val="auto"/>
              </w:rPr>
            </w:pPr>
          </w:p>
        </w:tc>
        <w:tc>
          <w:tcPr>
            <w:tcW w:w="1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040" w:type="dxa"/>
            <w:vAlign w:val="bottom"/>
            <w:gridSpan w:val="25"/>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Second Amended and Restated Certificate of Incorporation of Public Policy Holding Company, Inc. (incorporated by reference to Exhibit</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line="196" w:lineRule="exact"/>
              <w:rPr>
                <w:rFonts w:ascii="Times New Roman" w:cs="Times New Roman" w:eastAsia="Times New Roman" w:hAnsi="Times New Roman"/>
                <w:sz w:val="18"/>
                <w:szCs w:val="18"/>
                <w:color w:val="0000FF"/>
                <w:w w:val="97"/>
              </w:rPr>
            </w:pPr>
            <w:hyperlink r:id="rId1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Registration Statement on 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Amended and Restated Bylaws of Public Policy Holding Company, Inc. (incorporated by reference to Exhibit 3.2 to the Company’s</w:t>
              </w:r>
            </w:hyperlink>
          </w:p>
        </w:tc>
        <w:tc>
          <w:tcPr>
            <w:tcW w:w="480" w:type="dxa"/>
            <w:vAlign w:val="bottom"/>
            <w:gridSpan w:val="11"/>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line="196" w:lineRule="exact"/>
              <w:rPr>
                <w:rFonts w:ascii="Times New Roman" w:cs="Times New Roman" w:eastAsia="Times New Roman" w:hAnsi="Times New Roman"/>
                <w:sz w:val="18"/>
                <w:szCs w:val="18"/>
                <w:color w:val="0000FF"/>
                <w:w w:val="97"/>
              </w:rPr>
            </w:pPr>
            <w:hyperlink r:id="rId1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Registration Statement on 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Employment Agreement of George Stewart Hall (incorporated by reference to Exhibit 10.1 to the Company’s Registration Statement on</w:t>
              </w:r>
            </w:hyperlink>
          </w:p>
        </w:tc>
        <w:tc>
          <w:tcPr>
            <w:tcW w:w="160" w:type="dxa"/>
            <w:vAlign w:val="bottom"/>
            <w:gridSpan w:val="6"/>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Employment Agreement of Roeland Smits (incorporated by reference to Exhibit 10.2 to the Company’s Registration Statement on Form</w:t>
              </w:r>
            </w:hyperlink>
          </w:p>
        </w:tc>
        <w:tc>
          <w:tcPr>
            <w:tcW w:w="160" w:type="dxa"/>
            <w:vAlign w:val="bottom"/>
            <w:gridSpan w:val="6"/>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6"/>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Employment Agreement of Neal Strum (incorporated by reference to Exhibit 10.3 to the Company’s Registration Statement on Form S-1,</w:t>
              </w:r>
            </w:hyperlink>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filed with the SEC on October 10, 2025, File No. 333-290834).</w:t>
              </w:r>
            </w:hyperlink>
          </w:p>
        </w:tc>
        <w:tc>
          <w:tcPr>
            <w:tcW w:w="8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Employment Agreement of Jeffrey Forbes (incorporated by reference to Exhibit 10.4 to the Company’s Registration Statement on Form</w:t>
              </w:r>
            </w:hyperlink>
          </w:p>
        </w:tc>
        <w:tc>
          <w:tcPr>
            <w:tcW w:w="180" w:type="dxa"/>
            <w:vAlign w:val="bottom"/>
            <w:gridSpan w:val="7"/>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Employment Agreement of Daniel Tate (incorporated by reference to Exhibit 10.5 to the Company’s Registration Statement on Form S-1,</w:t>
              </w:r>
            </w:hyperlink>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6"/>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Consulting Agreement of William Chess (incorporated by reference to Exhibit 10.6 to the Company’s Registration Statement on Form S-</w:t>
              </w:r>
            </w:hyperlink>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1, filed with the SEC on October 10, 2025, File No. 333-290834).</w:t>
              </w:r>
            </w:hyperlink>
          </w:p>
        </w:tc>
        <w:tc>
          <w:tcPr>
            <w:tcW w:w="120" w:type="dxa"/>
            <w:vAlign w:val="bottom"/>
            <w:gridSpan w:val="5"/>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6"/>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Appointment Agreement of Simon Lee (incorporated by reference to Exhibit 10.7 to the Company’s Registration Statement on Form S-1,</w:t>
              </w:r>
            </w:hyperlink>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filed with the SEC on October 10, 2025, File No. 333-290834).</w:t>
              </w:r>
            </w:hyperlink>
          </w:p>
        </w:tc>
        <w:tc>
          <w:tcPr>
            <w:tcW w:w="100" w:type="dxa"/>
            <w:vAlign w:val="bottom"/>
            <w:gridSpan w:val="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Appointment Agreement of Kimberly White (incorporated by reference to Exhibit 10.8 to the Company’s Registration Statement on Form</w:t>
              </w:r>
            </w:hyperlink>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Appointment Agreement of Benjamin Ginsberg (incorporated by reference to Exhibit 10.9 to the Company’s Registration Statement on</w:t>
              </w:r>
            </w:hyperlink>
          </w:p>
        </w:tc>
        <w:tc>
          <w:tcPr>
            <w:tcW w:w="240" w:type="dxa"/>
            <w:vAlign w:val="bottom"/>
            <w:gridSpan w:val="9"/>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6"/>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Appointment Agreement of Charles D. Brown (incorporated by reference to Exhibit 10.10 to the Company’s Registration</w:t>
              </w:r>
            </w:hyperlink>
          </w:p>
        </w:tc>
      </w:tr>
      <w:tr>
        <w:trPr>
          <w:trHeight w:val="196"/>
        </w:trPr>
        <w:tc>
          <w:tcPr>
            <w:tcW w:w="20" w:type="dxa"/>
            <w:vAlign w:val="bottom"/>
          </w:tcPr>
          <w:p>
            <w:pPr>
              <w:spacing w:after="0"/>
              <w:rPr>
                <w:sz w:val="17"/>
                <w:szCs w:val="17"/>
                <w:color w:val="auto"/>
              </w:rPr>
            </w:pPr>
          </w:p>
        </w:tc>
        <w:tc>
          <w:tcPr>
            <w:tcW w:w="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88"/>
              </w:rPr>
            </w:pPr>
            <w:hyperlink r:id="rId24">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10</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Statement on Form S-1, filed with the SEC on October 10, 2025, File No. 333-290834).</w:t>
              </w:r>
            </w:hyperlink>
          </w:p>
        </w:tc>
        <w:tc>
          <w:tcPr>
            <w:tcW w:w="3040" w:type="dxa"/>
            <w:vAlign w:val="bottom"/>
            <w:tcBorders>
              <w:top w:val="single" w:sz="8" w:color="0000FF"/>
            </w:tcBorders>
            <w:gridSpan w:val="5"/>
          </w:tcPr>
          <w:p>
            <w:pPr>
              <w:spacing w:after="0"/>
              <w:rPr>
                <w:sz w:val="17"/>
                <w:szCs w:val="17"/>
                <w:color w:val="auto"/>
              </w:rPr>
            </w:pPr>
          </w:p>
        </w:tc>
        <w:tc>
          <w:tcPr>
            <w:tcW w:w="620" w:type="dxa"/>
            <w:vAlign w:val="bottom"/>
            <w:gridSpan w:val="15"/>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6"/>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of Appointment Agreement of Kathleen L. Casey (incorporated by reference to Exhibit 10.11 to the Company’s Registration</w:t>
              </w:r>
            </w:hyperlink>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w w:val="88"/>
              </w:rPr>
            </w:pPr>
            <w:hyperlink r:id="rId25">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11</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Statement on Form S-1, filed with the SEC on October 10, 2025, File No. 333-290834).</w:t>
              </w:r>
            </w:hyperlink>
          </w:p>
        </w:tc>
        <w:tc>
          <w:tcPr>
            <w:tcW w:w="600" w:type="dxa"/>
            <w:vAlign w:val="bottom"/>
            <w:gridSpan w:val="1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Credit Agreement dated February 28, 2023, among, inter alios, Public Policy Holding Company, Inc., as Borrower, and Bank of America,</w:t>
              </w:r>
            </w:hyperlink>
          </w:p>
        </w:tc>
        <w:tc>
          <w:tcPr>
            <w:tcW w:w="60" w:type="dxa"/>
            <w:vAlign w:val="bottom"/>
            <w:gridSpan w:val="2"/>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N.A., as Lender (incorporated by reference to Exhibit 10.12 to the Company’s Registration Statement on Form S-1, filed with the SEC on</w:t>
              </w:r>
            </w:hyperlink>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w w:val="88"/>
              </w:rPr>
            </w:pPr>
            <w:hyperlink r:id="rId26">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12</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October 10, 2025, File No. 333-290834).</w:t>
              </w:r>
            </w:hyperlink>
          </w:p>
        </w:tc>
        <w:tc>
          <w:tcPr>
            <w:tcW w:w="80" w:type="dxa"/>
            <w:vAlign w:val="bottom"/>
            <w:gridSpan w:val="3"/>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6"/>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First Amendment to the Credit Agreement dated February 28, 2023, among, inter alios, Public Policy Holding Company, Inc., as</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Borrower, and Bank of America, N.A., as Lender, dated April 30, 2024 (incorporated by reference to Exhibit 10.13 to the Company’s</w:t>
              </w:r>
            </w:hyperlink>
          </w:p>
        </w:tc>
        <w:tc>
          <w:tcPr>
            <w:tcW w:w="38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w w:val="88"/>
              </w:rPr>
            </w:pPr>
            <w:hyperlink r:id="rId27">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13</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Registration Statement on 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7"/>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Second Amendment to the Credit Agreement dated February 28, 2023, among, inter alios, Public Policy Holding Company, Inc., as</w:t>
              </w:r>
            </w:hyperlink>
          </w:p>
        </w:tc>
        <w:tc>
          <w:tcPr>
            <w:tcW w:w="500" w:type="dxa"/>
            <w:vAlign w:val="bottom"/>
            <w:gridSpan w:val="12"/>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Borrower, and Bank of America, N.A., as Lender, dated June 6, 2024 (incorporated by reference to Exhibit 10.14 to the Company’s</w:t>
              </w:r>
            </w:hyperlink>
          </w:p>
        </w:tc>
        <w:tc>
          <w:tcPr>
            <w:tcW w:w="52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0" w:type="dxa"/>
            <w:vAlign w:val="bottom"/>
            <w:gridSpan w:val="3"/>
          </w:tcPr>
          <w:p>
            <w:pPr>
              <w:spacing w:after="0" w:line="196" w:lineRule="exact"/>
              <w:rPr>
                <w:rFonts w:ascii="Times New Roman" w:cs="Times New Roman" w:eastAsia="Times New Roman" w:hAnsi="Times New Roman"/>
                <w:sz w:val="18"/>
                <w:szCs w:val="18"/>
                <w:color w:val="0000FF"/>
                <w:w w:val="88"/>
              </w:rPr>
            </w:pPr>
            <w:hyperlink r:id="rId28">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14</w:t>
              </w:r>
            </w:hyperlink>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Registration Statement on Form S-1, filed with the SEC on October 10, 2025, File No. 333-290834).</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7"/>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Third Amendment to the Credit Agreement dated February 28, 2023, among, inter alios, Public Policy Holding Company, Inc., as</w:t>
              </w:r>
            </w:hyperlink>
          </w:p>
        </w:tc>
        <w:tc>
          <w:tcPr>
            <w:tcW w:w="640" w:type="dxa"/>
            <w:vAlign w:val="bottom"/>
            <w:gridSpan w:val="16"/>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Borrower, and Bank of America, N.A., as Lender, dated January 24, 2025 (incorporated by reference to Exhibit 10.15 to the Company’s</w:t>
              </w:r>
            </w:hyperlink>
          </w:p>
        </w:tc>
        <w:tc>
          <w:tcPr>
            <w:tcW w:w="200" w:type="dxa"/>
            <w:vAlign w:val="bottom"/>
            <w:gridSpan w:val="8"/>
          </w:tcPr>
          <w:p>
            <w:pPr>
              <w:spacing w:after="0"/>
              <w:rPr>
                <w:sz w:val="17"/>
                <w:szCs w:val="17"/>
                <w:color w:val="auto"/>
              </w:rPr>
            </w:pPr>
          </w:p>
        </w:tc>
      </w:tr>
      <w:tr>
        <w:trPr>
          <w:trHeight w:val="196"/>
        </w:trPr>
        <w:tc>
          <w:tcPr>
            <w:tcW w:w="1140" w:type="dxa"/>
            <w:vAlign w:val="bottom"/>
            <w:gridSpan w:val="5"/>
          </w:tcPr>
          <w:p>
            <w:pPr>
              <w:ind w:left="20"/>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6"/>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Registration Statement on Form S-1, filed with the SEC on October 10, 2025, File No. 333-290834).</w:t>
              </w:r>
            </w:hyperlink>
          </w:p>
        </w:tc>
      </w:tr>
      <w:tr>
        <w:trPr>
          <w:trHeight w:val="1283"/>
        </w:trPr>
        <w:tc>
          <w:tcPr>
            <w:tcW w:w="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40" w:type="dxa"/>
            <w:vAlign w:val="bottom"/>
            <w:tcBorders>
              <w:top w:val="single" w:sz="8" w:color="0000FF"/>
              <w:bottom w:val="single" w:sz="8" w:color="9A9A9A"/>
            </w:tcBorders>
          </w:tcPr>
          <w:p>
            <w:pPr>
              <w:spacing w:after="0"/>
              <w:rPr>
                <w:sz w:val="24"/>
                <w:szCs w:val="24"/>
                <w:color w:val="auto"/>
              </w:rPr>
            </w:pPr>
          </w:p>
        </w:tc>
        <w:tc>
          <w:tcPr>
            <w:tcW w:w="16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32">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16†</w:t>
              </w:r>
            </w:hyperlink>
          </w:p>
        </w:tc>
        <w:tc>
          <w:tcPr>
            <w:tcW w:w="740" w:type="dxa"/>
            <w:vAlign w:val="bottom"/>
          </w:tcPr>
          <w:p>
            <w:pPr>
              <w:spacing w:after="0"/>
              <w:rPr>
                <w:sz w:val="17"/>
                <w:szCs w:val="17"/>
                <w:color w:val="auto"/>
              </w:rPr>
            </w:pPr>
          </w:p>
        </w:tc>
        <w:tc>
          <w:tcPr>
            <w:tcW w:w="49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Public Policy Holding Company, Inc. 2021 Omnibus Incentive Plan.</w:t>
              </w:r>
            </w:hyperlink>
          </w:p>
        </w:tc>
        <w:tc>
          <w:tcPr>
            <w:tcW w:w="4940" w:type="dxa"/>
            <w:vAlign w:val="bottom"/>
            <w:gridSpan w:val="9"/>
          </w:tcPr>
          <w:p>
            <w:pPr>
              <w:spacing w:after="0"/>
              <w:rPr>
                <w:sz w:val="17"/>
                <w:szCs w:val="17"/>
                <w:color w:val="auto"/>
              </w:rPr>
            </w:pPr>
          </w:p>
        </w:tc>
      </w:tr>
      <w:tr>
        <w:trPr>
          <w:trHeight w:val="250"/>
        </w:trPr>
        <w:tc>
          <w:tcPr>
            <w:tcW w:w="500" w:type="dxa"/>
            <w:vAlign w:val="bottom"/>
            <w:gridSpan w:val="3"/>
          </w:tcPr>
          <w:p>
            <w:pPr>
              <w:spacing w:after="0"/>
              <w:rPr>
                <w:rFonts w:ascii="Times New Roman" w:cs="Times New Roman" w:eastAsia="Times New Roman" w:hAnsi="Times New Roman"/>
                <w:sz w:val="18"/>
                <w:szCs w:val="18"/>
                <w:color w:val="0000FF"/>
                <w:w w:val="96"/>
              </w:rPr>
            </w:pPr>
            <w:hyperlink r:id="rId33">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17†</w:t>
              </w:r>
            </w:hyperlink>
          </w:p>
        </w:tc>
        <w:tc>
          <w:tcPr>
            <w:tcW w:w="740" w:type="dxa"/>
            <w:vAlign w:val="bottom"/>
          </w:tcPr>
          <w:p>
            <w:pPr>
              <w:spacing w:after="0"/>
              <w:rPr>
                <w:sz w:val="21"/>
                <w:szCs w:val="21"/>
                <w:color w:val="auto"/>
              </w:rPr>
            </w:pPr>
          </w:p>
        </w:tc>
        <w:tc>
          <w:tcPr>
            <w:tcW w:w="9880" w:type="dxa"/>
            <w:vAlign w:val="bottom"/>
            <w:gridSpan w:val="15"/>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Amendment No. 1 to Public Policy Holding Company, Inc. 2021 Omnibus Incentive Plan.</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34">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18†</w:t>
              </w:r>
            </w:hyperlink>
          </w:p>
        </w:tc>
        <w:tc>
          <w:tcPr>
            <w:tcW w:w="740" w:type="dxa"/>
            <w:vAlign w:val="bottom"/>
          </w:tcPr>
          <w:p>
            <w:pPr>
              <w:spacing w:after="0"/>
              <w:rPr>
                <w:sz w:val="21"/>
                <w:szCs w:val="21"/>
                <w:color w:val="auto"/>
              </w:rPr>
            </w:pPr>
          </w:p>
        </w:tc>
        <w:tc>
          <w:tcPr>
            <w:tcW w:w="9880" w:type="dxa"/>
            <w:vAlign w:val="bottom"/>
            <w:gridSpan w:val="15"/>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 xml:space="preserve">Amendment No. 2 to Public Policy Holding Company, Inc. 2021 Omnibus Incentive </w:t>
              </w:r>
            </w:hyperlink>
            <w:r>
              <w:rPr>
                <w:rFonts w:ascii="Times New Roman" w:cs="Times New Roman" w:eastAsia="Times New Roman" w:hAnsi="Times New Roman"/>
                <w:sz w:val="18"/>
                <w:szCs w:val="18"/>
                <w:color w:val="0000FF"/>
              </w:rPr>
              <w:t>Plan.</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0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00" w:type="dxa"/>
            <w:vAlign w:val="bottom"/>
            <w:gridSpan w:val="3"/>
          </w:tcPr>
          <w:p>
            <w:pPr>
              <w:spacing w:after="0"/>
              <w:rPr>
                <w:rFonts w:ascii="Times New Roman" w:cs="Times New Roman" w:eastAsia="Times New Roman" w:hAnsi="Times New Roman"/>
                <w:sz w:val="18"/>
                <w:szCs w:val="18"/>
                <w:color w:val="0000FF"/>
                <w:w w:val="96"/>
              </w:rPr>
            </w:pPr>
            <w:hyperlink r:id="rId35">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19†</w:t>
              </w:r>
            </w:hyperlink>
          </w:p>
        </w:tc>
        <w:tc>
          <w:tcPr>
            <w:tcW w:w="740" w:type="dxa"/>
            <w:vAlign w:val="bottom"/>
          </w:tcPr>
          <w:p>
            <w:pPr>
              <w:spacing w:after="0"/>
              <w:rPr>
                <w:sz w:val="18"/>
                <w:szCs w:val="18"/>
                <w:color w:val="auto"/>
              </w:rPr>
            </w:pPr>
          </w:p>
        </w:tc>
        <w:tc>
          <w:tcPr>
            <w:tcW w:w="9880" w:type="dxa"/>
            <w:vAlign w:val="bottom"/>
            <w:gridSpan w:val="15"/>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Public Policy Holding Company 2021 Omnibus Incentive Plan</w:t>
              </w:r>
            </w:hyperlink>
            <w:r>
              <w:rPr>
                <w:rFonts w:ascii="Times New Roman" w:cs="Times New Roman" w:eastAsia="Times New Roman" w:hAnsi="Times New Roman"/>
                <w:sz w:val="18"/>
                <w:szCs w:val="18"/>
                <w:color w:val="000000"/>
              </w:rPr>
              <w:t>.</w:t>
            </w:r>
          </w:p>
        </w:tc>
      </w:tr>
      <w:tr>
        <w:trPr>
          <w:trHeight w:val="250"/>
        </w:trPr>
        <w:tc>
          <w:tcPr>
            <w:tcW w:w="3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5"/>
              </w:rPr>
            </w:pPr>
            <w:hyperlink r:id="rId36">
              <w:r>
                <w:rPr>
                  <w:rFonts w:ascii="Times New Roman" w:cs="Times New Roman" w:eastAsia="Times New Roman" w:hAnsi="Times New Roman"/>
                  <w:sz w:val="18"/>
                  <w:szCs w:val="18"/>
                  <w:color w:val="0000FF"/>
                  <w:w w:val="95"/>
                </w:rPr>
                <w:t>16.</w:t>
              </w:r>
              <w:r>
                <w:rPr>
                  <w:rFonts w:ascii="Times New Roman" w:cs="Times New Roman" w:eastAsia="Times New Roman" w:hAnsi="Times New Roman"/>
                  <w:sz w:val="18"/>
                  <w:szCs w:val="18"/>
                  <w:u w:val="single" w:color="auto"/>
                  <w:color w:val="0000FF"/>
                  <w:w w:val="95"/>
                </w:rPr>
                <w:t>1</w:t>
              </w:r>
            </w:hyperlink>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740" w:type="dxa"/>
            <w:vAlign w:val="bottom"/>
          </w:tcPr>
          <w:p>
            <w:pPr>
              <w:spacing w:after="0"/>
              <w:rPr>
                <w:sz w:val="21"/>
                <w:szCs w:val="21"/>
                <w:color w:val="auto"/>
              </w:rPr>
            </w:pPr>
          </w:p>
        </w:tc>
        <w:tc>
          <w:tcPr>
            <w:tcW w:w="48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Letter of MN Blum LLC regarding change in certifying accountant.</w:t>
              </w:r>
            </w:hyperlink>
          </w:p>
        </w:tc>
        <w:tc>
          <w:tcPr>
            <w:tcW w:w="1360" w:type="dxa"/>
            <w:vAlign w:val="bottom"/>
            <w:tcBorders>
              <w:top w:val="single" w:sz="8" w:color="0000FF"/>
            </w:tcBorders>
            <w:gridSpan w:val="5"/>
          </w:tcPr>
          <w:p>
            <w:pPr>
              <w:spacing w:after="0"/>
              <w:rPr>
                <w:sz w:val="21"/>
                <w:szCs w:val="21"/>
                <w:color w:val="auto"/>
              </w:rPr>
            </w:pPr>
          </w:p>
        </w:tc>
        <w:tc>
          <w:tcPr>
            <w:tcW w:w="3640" w:type="dxa"/>
            <w:vAlign w:val="bottom"/>
            <w:gridSpan w:val="6"/>
          </w:tcPr>
          <w:p>
            <w:pPr>
              <w:spacing w:after="0"/>
              <w:rPr>
                <w:sz w:val="21"/>
                <w:szCs w:val="21"/>
                <w:color w:val="auto"/>
              </w:rPr>
            </w:pPr>
          </w:p>
        </w:tc>
      </w:tr>
      <w:tr>
        <w:trPr>
          <w:trHeight w:val="25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37">
              <w:r>
                <w:rPr>
                  <w:rFonts w:ascii="Times New Roman" w:cs="Times New Roman" w:eastAsia="Times New Roman" w:hAnsi="Times New Roman"/>
                  <w:sz w:val="18"/>
                  <w:szCs w:val="18"/>
                  <w:color w:val="0000FF"/>
                  <w:w w:val="95"/>
                </w:rPr>
                <w:t>16.</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Letter of Crowe U.K. LLP regarding change in certifying accountant.</w:t>
              </w:r>
            </w:hyperlink>
          </w:p>
        </w:tc>
        <w:tc>
          <w:tcPr>
            <w:tcW w:w="4880" w:type="dxa"/>
            <w:vAlign w:val="bottom"/>
            <w:gridSpan w:val="8"/>
          </w:tcPr>
          <w:p>
            <w:pPr>
              <w:spacing w:after="0"/>
              <w:rPr>
                <w:sz w:val="21"/>
                <w:szCs w:val="21"/>
                <w:color w:val="auto"/>
              </w:rPr>
            </w:pPr>
          </w:p>
        </w:tc>
      </w:tr>
      <w:tr>
        <w:trPr>
          <w:trHeight w:val="25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38">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38">
              <w:r>
                <w:rPr>
                  <w:rFonts w:ascii="Times New Roman" w:cs="Times New Roman" w:eastAsia="Times New Roman" w:hAnsi="Times New Roman"/>
                  <w:sz w:val="18"/>
                  <w:szCs w:val="18"/>
                  <w:color w:val="0000FF"/>
                  <w:w w:val="98"/>
                </w:rPr>
                <w:t>Securities Trading Policy.</w:t>
              </w:r>
            </w:hyperlink>
          </w:p>
        </w:tc>
        <w:tc>
          <w:tcPr>
            <w:tcW w:w="8020" w:type="dxa"/>
            <w:vAlign w:val="bottom"/>
            <w:gridSpan w:val="12"/>
          </w:tcPr>
          <w:p>
            <w:pPr>
              <w:spacing w:after="0"/>
              <w:rPr>
                <w:sz w:val="21"/>
                <w:szCs w:val="21"/>
                <w:color w:val="auto"/>
              </w:rPr>
            </w:pP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Subsidiaries of Public Policy Holding Company, Inc. (incorporated by reference to Exhibit 21.1 to the Company’s Registration Statement</w:t>
              </w:r>
            </w:hyperlink>
          </w:p>
        </w:tc>
      </w:tr>
      <w:tr>
        <w:trPr>
          <w:trHeight w:val="196"/>
        </w:trPr>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9">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on Form S-1, filed with the SEC on October 10, 2025, File No. 333-290834).</w:t>
              </w:r>
            </w:hyperlink>
          </w:p>
        </w:tc>
        <w:tc>
          <w:tcPr>
            <w:tcW w:w="4320" w:type="dxa"/>
            <w:vAlign w:val="bottom"/>
            <w:gridSpan w:val="7"/>
          </w:tcPr>
          <w:p>
            <w:pPr>
              <w:spacing w:after="0"/>
              <w:rPr>
                <w:sz w:val="17"/>
                <w:szCs w:val="17"/>
                <w:color w:val="auto"/>
              </w:rPr>
            </w:pPr>
          </w:p>
        </w:tc>
      </w:tr>
      <w:tr>
        <w:trPr>
          <w:trHeight w:val="520"/>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or 15d-14(a) of the Securities Exchange Act of 1934, as amended, as</w:t>
            </w:r>
          </w:p>
        </w:tc>
      </w:tr>
      <w:tr>
        <w:trPr>
          <w:trHeight w:val="196"/>
        </w:trPr>
        <w:tc>
          <w:tcPr>
            <w:tcW w:w="4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20" w:type="dxa"/>
            <w:vAlign w:val="bottom"/>
            <w:tcBorders>
              <w:top w:val="single" w:sz="8" w:color="0000FF"/>
            </w:tcBorders>
            <w:gridSpan w:val="9"/>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or 15d-14(a) of the Securities Exchange Act of 1934, as amended, as</w:t>
            </w:r>
          </w:p>
        </w:tc>
        <w:tc>
          <w:tcPr>
            <w:tcW w:w="80" w:type="dxa"/>
            <w:vAlign w:val="bottom"/>
            <w:gridSpan w:val="2"/>
          </w:tcPr>
          <w:p>
            <w:pPr>
              <w:spacing w:after="0"/>
              <w:rPr>
                <w:sz w:val="21"/>
                <w:szCs w:val="21"/>
                <w:color w:val="auto"/>
              </w:rPr>
            </w:pPr>
          </w:p>
        </w:tc>
      </w:tr>
      <w:tr>
        <w:trPr>
          <w:trHeight w:val="196"/>
        </w:trPr>
        <w:tc>
          <w:tcPr>
            <w:tcW w:w="4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60" w:type="dxa"/>
            <w:vAlign w:val="bottom"/>
            <w:gridSpan w:val="10"/>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80" w:type="dxa"/>
            <w:vAlign w:val="bottom"/>
            <w:gridSpan w:val="15"/>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hyperlink>
          </w:p>
        </w:tc>
      </w:tr>
      <w:tr>
        <w:trPr>
          <w:trHeight w:val="196"/>
        </w:trPr>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40">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40">
              <w:r>
                <w:rPr>
                  <w:rFonts w:ascii="Times New Roman" w:cs="Times New Roman" w:eastAsia="Times New Roman" w:hAnsi="Times New Roman"/>
                  <w:sz w:val="18"/>
                  <w:szCs w:val="18"/>
                  <w:color w:val="0000FF"/>
                  <w:w w:val="97"/>
                </w:rPr>
                <w:t>Act of 2002.</w:t>
              </w:r>
            </w:hyperlink>
          </w:p>
        </w:tc>
        <w:tc>
          <w:tcPr>
            <w:tcW w:w="8820" w:type="dxa"/>
            <w:vAlign w:val="bottom"/>
            <w:tcBorders>
              <w:top w:val="single" w:sz="8" w:color="0000FF"/>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hyperlink>
          </w:p>
        </w:tc>
        <w:tc>
          <w:tcPr>
            <w:tcW w:w="200" w:type="dxa"/>
            <w:vAlign w:val="bottom"/>
            <w:gridSpan w:val="4"/>
          </w:tcPr>
          <w:p>
            <w:pPr>
              <w:spacing w:after="0"/>
              <w:rPr>
                <w:sz w:val="21"/>
                <w:szCs w:val="21"/>
                <w:color w:val="auto"/>
              </w:rPr>
            </w:pPr>
          </w:p>
        </w:tc>
      </w:tr>
      <w:tr>
        <w:trPr>
          <w:trHeight w:val="196"/>
        </w:trPr>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41">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41">
              <w:r>
                <w:rPr>
                  <w:rFonts w:ascii="Times New Roman" w:cs="Times New Roman" w:eastAsia="Times New Roman" w:hAnsi="Times New Roman"/>
                  <w:sz w:val="18"/>
                  <w:szCs w:val="18"/>
                  <w:color w:val="0000FF"/>
                  <w:w w:val="97"/>
                </w:rPr>
                <w:t>Act of 2002.</w:t>
              </w:r>
            </w:hyperlink>
          </w:p>
        </w:tc>
        <w:tc>
          <w:tcPr>
            <w:tcW w:w="8980" w:type="dxa"/>
            <w:vAlign w:val="bottom"/>
            <w:gridSpan w:val="14"/>
          </w:tcPr>
          <w:p>
            <w:pPr>
              <w:spacing w:after="0"/>
              <w:rPr>
                <w:sz w:val="17"/>
                <w:szCs w:val="17"/>
                <w:color w:val="auto"/>
              </w:rPr>
            </w:pPr>
          </w:p>
        </w:tc>
      </w:tr>
      <w:tr>
        <w:trPr>
          <w:trHeight w:val="25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42">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42">
              <w:r>
                <w:rPr>
                  <w:rFonts w:ascii="Times New Roman" w:cs="Times New Roman" w:eastAsia="Times New Roman" w:hAnsi="Times New Roman"/>
                  <w:sz w:val="18"/>
                  <w:szCs w:val="18"/>
                  <w:color w:val="0000FF"/>
                  <w:w w:val="97"/>
                </w:rPr>
                <w:t>Clawback Policy.</w:t>
              </w:r>
            </w:hyperlink>
          </w:p>
        </w:tc>
        <w:tc>
          <w:tcPr>
            <w:tcW w:w="8620" w:type="dxa"/>
            <w:vAlign w:val="bottom"/>
            <w:gridSpan w:val="13"/>
          </w:tcPr>
          <w:p>
            <w:pPr>
              <w:spacing w:after="0"/>
              <w:rPr>
                <w:sz w:val="21"/>
                <w:szCs w:val="21"/>
                <w:color w:val="auto"/>
              </w:rPr>
            </w:pPr>
          </w:p>
        </w:tc>
      </w:tr>
      <w:tr>
        <w:trPr>
          <w:trHeight w:val="272"/>
        </w:trPr>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The following financial information from PPHC, Inc.'s Annual Report on Form 10-K for the year ended December 31, 2025 formatted in</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(Extensible Business Reporting Language) includes: (i) the Consolidated Balance Sheets, (ii) the Consolidated Statements</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of Operations and Comprehensive Loss, (iii) the Consolidated Statements of Stockholders' Equity, (iv) the Consolidated Statements of</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Cash Flows, and (v) Notes to Consolidated Financial Statements.</w:t>
            </w:r>
          </w:p>
        </w:tc>
      </w:tr>
    </w:tbl>
    <w:p>
      <w:pPr>
        <w:spacing w:after="0" w:line="36" w:lineRule="exact"/>
        <w:rPr>
          <w:sz w:val="20"/>
          <w:szCs w:val="20"/>
          <w:color w:val="auto"/>
        </w:rPr>
      </w:pPr>
    </w:p>
    <w:p>
      <w:pPr>
        <w:ind w:left="1260" w:hanging="1234"/>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as Inline XBRL and contained in Exhibit 101).</w:t>
      </w:r>
    </w:p>
    <w:p>
      <w:pPr>
        <w:spacing w:after="0" w:line="346"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w:t>
            </w: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18"/>
        </w:trPr>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George Stewart Hall</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24, 2026</w:t>
            </w:r>
          </w:p>
        </w:tc>
      </w:tr>
      <w:tr>
        <w:trPr>
          <w:trHeight w:val="223"/>
        </w:trPr>
        <w:tc>
          <w:tcPr>
            <w:tcW w:w="56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 George Stewart Hall</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040" w:type="dxa"/>
            <w:vAlign w:val="bottom"/>
          </w:tcPr>
          <w:p>
            <w:pPr>
              <w:spacing w:after="0"/>
              <w:rPr>
                <w:sz w:val="19"/>
                <w:szCs w:val="19"/>
                <w:color w:val="auto"/>
              </w:rPr>
            </w:pPr>
          </w:p>
        </w:tc>
      </w:tr>
    </w:tbl>
    <w:p>
      <w:pPr>
        <w:spacing w:after="0" w:line="2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586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00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318"/>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George Stewart Hall</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Chief Executive Officer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George Stewart Hall</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000" w:type="dxa"/>
            <w:vAlign w:val="bottom"/>
          </w:tcPr>
          <w:p>
            <w:pPr>
              <w:spacing w:after="0"/>
              <w:rPr>
                <w:sz w:val="19"/>
                <w:szCs w:val="19"/>
                <w:color w:val="auto"/>
              </w:rPr>
            </w:pPr>
          </w:p>
        </w:tc>
      </w:tr>
      <w:tr>
        <w:trPr>
          <w:trHeight w:val="351"/>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Roeland Smits</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Chief Financial Officer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Roeland Smits</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(Principal Accounting Officer and Principal Financial Officer)</w:t>
            </w:r>
          </w:p>
        </w:tc>
        <w:tc>
          <w:tcPr>
            <w:tcW w:w="2000" w:type="dxa"/>
            <w:vAlign w:val="bottom"/>
          </w:tcPr>
          <w:p>
            <w:pPr>
              <w:spacing w:after="0"/>
              <w:rPr>
                <w:sz w:val="19"/>
                <w:szCs w:val="19"/>
                <w:color w:val="auto"/>
              </w:rPr>
            </w:pPr>
          </w:p>
        </w:tc>
      </w:tr>
      <w:tr>
        <w:trPr>
          <w:trHeight w:val="35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Keenan Austin Reed</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Executive Director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Keenan Austin Reed</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Zachary Williams</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Executive Director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Zachary Williams</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Simon Lee</w:t>
            </w:r>
          </w:p>
        </w:tc>
        <w:tc>
          <w:tcPr>
            <w:tcW w:w="58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Non-Executive Director (Chairperson)</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Simon Lee</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Charles D. Brown</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Non-Executive Director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Charles D. Brown</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Kathleen L. Casey</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Non-Executive Director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Kathleen L. Casey</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Benjamin Ginsberg</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Non-Executive Director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Benjamin Ginsberg</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0"/>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Kimberly White</w:t>
            </w:r>
          </w:p>
        </w:tc>
        <w:tc>
          <w:tcPr>
            <w:tcW w:w="58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Non-Executive Director</w:t>
            </w:r>
          </w:p>
        </w:tc>
        <w:tc>
          <w:tcPr>
            <w:tcW w:w="200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June 24, 2026</w:t>
            </w:r>
          </w:p>
        </w:tc>
      </w:tr>
      <w:tr>
        <w:trPr>
          <w:trHeight w:val="22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Kimberly White</w:t>
            </w:r>
          </w:p>
        </w:tc>
        <w:tc>
          <w:tcPr>
            <w:tcW w:w="586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ectPr>
          <w:pgSz w:w="11900" w:h="16838" w:orient="portrait"/>
          <w:cols w:equalWidth="0" w:num="1">
            <w:col w:w="11240"/>
          </w:cols>
          <w:pgMar w:left="320" w:top="87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Stewart Hall, certify that:</w:t>
      </w:r>
    </w:p>
    <w:p>
      <w:pPr>
        <w:spacing w:after="0" w:line="11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Public Policy Holding Company, Inc. for the year ended December 31, 2025;</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4800" w:val="left"/>
          <w:tab w:leader="none" w:pos="556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Stewart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68580</wp:posOffset>
            </wp:positionV>
            <wp:extent cx="3600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George Stewart Hall</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Roeland Smits, certify that:</w:t>
      </w:r>
    </w:p>
    <w:p>
      <w:pPr>
        <w:spacing w:after="0" w:line="11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Public Policy Holding Company, Inc. for the year ended December 31, 2025;</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1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4680" w:val="left"/>
          <w:tab w:leader="none" w:pos="544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Roeland Smits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68580</wp:posOffset>
            </wp:positionV>
            <wp:extent cx="3686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17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Roeland Smits</w:t>
      </w:r>
    </w:p>
    <w:p>
      <w:pPr>
        <w:spacing w:after="0" w:line="1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lvl w:ilvl="1">
      <w:lvlJc w:val="left"/>
      <w:lvlText w:val="%2"/>
      <w:numFmt w:val="decimal"/>
      <w:start w:val="104"/>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13" Type="http://schemas.openxmlformats.org/officeDocument/2006/relationships/hyperlink" Target="https://www.sec.gov/Archives/edgar/data/1903508/000162828025044817/exhibit31-sx1.htm" TargetMode="External"/><Relationship Id="rId14" Type="http://schemas.openxmlformats.org/officeDocument/2006/relationships/hyperlink" Target="https://www.sec.gov/Archives/edgar/data/1903508/000162828026022359/exhibit32.htm" TargetMode="External"/><Relationship Id="rId15" Type="http://schemas.openxmlformats.org/officeDocument/2006/relationships/hyperlink" Target="https://www.sec.gov/Archives/edgar/data/1903508/000162828025044817/exhibit101-sx1.htm" TargetMode="External"/><Relationship Id="rId16" Type="http://schemas.openxmlformats.org/officeDocument/2006/relationships/hyperlink" Target="https://www.sec.gov/Archives/edgar/data/1903508/000162828025044817/exhibit102-sx1.htm" TargetMode="External"/><Relationship Id="rId17" Type="http://schemas.openxmlformats.org/officeDocument/2006/relationships/hyperlink" Target="https://www.sec.gov/Archives/edgar/data/1903508/000162828025044817/exhibit103-sx1.htm" TargetMode="External"/><Relationship Id="rId18" Type="http://schemas.openxmlformats.org/officeDocument/2006/relationships/hyperlink" Target="https://www.sec.gov/Archives/edgar/data/1903508/000162828025044817/exhibit104-sx1.htm" TargetMode="External"/><Relationship Id="rId19" Type="http://schemas.openxmlformats.org/officeDocument/2006/relationships/hyperlink" Target="https://www.sec.gov/Archives/edgar/data/1903508/000162828025044817/exhibit105-sx1.htm" TargetMode="External"/><Relationship Id="rId20" Type="http://schemas.openxmlformats.org/officeDocument/2006/relationships/hyperlink" Target="https://www.sec.gov/Archives/edgar/data/1903508/000162828025044817/exhibit106-sx1.htm" TargetMode="External"/><Relationship Id="rId21" Type="http://schemas.openxmlformats.org/officeDocument/2006/relationships/hyperlink" Target="https://www.sec.gov/Archives/edgar/data/1903508/000162828025044817/exhibit107-sx1.htm" TargetMode="External"/><Relationship Id="rId22" Type="http://schemas.openxmlformats.org/officeDocument/2006/relationships/hyperlink" Target="https://www.sec.gov/Archives/edgar/data/1903508/000162828025044817/exhibit108-sx1.htm" TargetMode="External"/><Relationship Id="rId23" Type="http://schemas.openxmlformats.org/officeDocument/2006/relationships/hyperlink" Target="https://www.sec.gov/Archives/edgar/data/1903508/000162828025044817/exhibit109-sx1.htm" TargetMode="External"/><Relationship Id="rId24" Type="http://schemas.openxmlformats.org/officeDocument/2006/relationships/hyperlink" Target="https://www.sec.gov/Archives/edgar/data/1903508/000162828025044817/exhibit1010-sx1.htm" TargetMode="External"/><Relationship Id="rId25" Type="http://schemas.openxmlformats.org/officeDocument/2006/relationships/hyperlink" Target="https://www.sec.gov/Archives/edgar/data/1903508/000162828025044817/exhibit1011-sx1.htm" TargetMode="External"/><Relationship Id="rId26" Type="http://schemas.openxmlformats.org/officeDocument/2006/relationships/hyperlink" Target="https://www.sec.gov/Archives/edgar/data/1903508/000162828025044817/exhibit1012-sx1.htm" TargetMode="External"/><Relationship Id="rId27" Type="http://schemas.openxmlformats.org/officeDocument/2006/relationships/hyperlink" Target="https://www.sec.gov/Archives/edgar/data/1903508/000162828025044817/exhibit1013-sx1.htm" TargetMode="External"/><Relationship Id="rId28" Type="http://schemas.openxmlformats.org/officeDocument/2006/relationships/hyperlink" Target="https://www.sec.gov/Archives/edgar/data/1903508/000162828025044817/exhibit1014-sx1.htm" TargetMode="External"/><Relationship Id="rId29" Type="http://schemas.openxmlformats.org/officeDocument/2006/relationships/hyperlink" Target="https://www.sec.gov/Archives/edgar/data/1903508/000162828025044817/exhibit1015-sx1.htm" TargetMode="External"/><Relationship Id="rId32" Type="http://schemas.openxmlformats.org/officeDocument/2006/relationships/hyperlink" Target="https://www.sec.gov/Archives/edgar/data/1903508/000162828026022359/exhibit1016.htm" TargetMode="External"/><Relationship Id="rId33" Type="http://schemas.openxmlformats.org/officeDocument/2006/relationships/hyperlink" Target="https://www.sec.gov/Archives/edgar/data/1903508/000162828026022359/exhibit1017.htm" TargetMode="External"/><Relationship Id="rId34" Type="http://schemas.openxmlformats.org/officeDocument/2006/relationships/hyperlink" Target="https://www.sec.gov/Archives/edgar/data/1903508/000162828026022359/exhibit1018.htm" TargetMode="External"/><Relationship Id="rId35" Type="http://schemas.openxmlformats.org/officeDocument/2006/relationships/hyperlink" Target="https://www.sec.gov/Archives/edgar/data/1903508/000162828026022359/exhibit1019.htm" TargetMode="External"/><Relationship Id="rId36" Type="http://schemas.openxmlformats.org/officeDocument/2006/relationships/hyperlink" Target="https://www.sec.gov/Archives/edgar/data/1903508/000162828026022359/exhibit161.htm" TargetMode="External"/><Relationship Id="rId37" Type="http://schemas.openxmlformats.org/officeDocument/2006/relationships/hyperlink" Target="https://www.sec.gov/Archives/edgar/data/1903508/000162828026022359/exhibit162.htm" TargetMode="External"/><Relationship Id="rId38" Type="http://schemas.openxmlformats.org/officeDocument/2006/relationships/hyperlink" Target="https://www.sec.gov/Archives/edgar/data/1903508/000162828026022359/exhibit191.htm" TargetMode="External"/><Relationship Id="rId39" Type="http://schemas.openxmlformats.org/officeDocument/2006/relationships/hyperlink" Target="https://www.sec.gov/Archives/edgar/data/1903508/000162828025044817/exhibit211-sx1.htm" TargetMode="External"/><Relationship Id="rId40" Type="http://schemas.openxmlformats.org/officeDocument/2006/relationships/hyperlink" Target="https://www.sec.gov/Archives/edgar/data/1903508/000162828026022359/exhibit321.htm" TargetMode="External"/><Relationship Id="rId41" Type="http://schemas.openxmlformats.org/officeDocument/2006/relationships/hyperlink" Target="https://www.sec.gov/Archives/edgar/data/1903508/000162828026022359/exhibit322.htm" TargetMode="External"/><Relationship Id="rId42" Type="http://schemas.openxmlformats.org/officeDocument/2006/relationships/hyperlink" Target="https://www.sec.gov/Archives/edgar/data/1903508/000162828026022359/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2026-06-24T17:24:24Z</dcterms:created>
  <dcterms:modified xsi:type="dcterms:W3CDTF">2026-06-24T17:24:24Z</dcterms:modified>
</cp:coreProperties>
</file>