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3" w:after="20"/>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transition period from [________] to [________]</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Commission file number 001-43077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Public Policy Holding Company,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tbl>
      <w:tblPr>
        <w:tblW w:w="5174" w:type="dxa"/>
        <w:jc w:val="left"/>
        <w:tblInd w:w="0" w:type="dxa"/>
        <w:tblLayout w:type="fixed"/>
        <w:tblCellMar>
          <w:top w:w="28" w:type="dxa"/>
          <w:left w:w="28" w:type="dxa"/>
          <w:bottom w:w="28" w:type="dxa"/>
          <w:right w:w="28" w:type="dxa"/>
        </w:tblCellMar>
      </w:tblPr>
      <w:tblGrid>
        <w:gridCol w:w="1275"/>
        <w:gridCol w:w="1119"/>
        <w:gridCol w:w="1131"/>
        <w:gridCol w:w="481"/>
        <w:gridCol w:w="481"/>
        <w:gridCol w:w="687"/>
      </w:tblGrid>
      <w:tr>
        <w:trPr/>
        <w:tc>
          <w:tcPr>
            <w:tcW w:w="1275"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87-3557229</w:t>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800 North Capitol Street NW, Suite 800,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20002</w:t>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 688-0020</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353" w:type="dxa"/>
        <w:jc w:val="left"/>
        <w:tblInd w:w="0" w:type="dxa"/>
        <w:tblLayout w:type="fixed"/>
        <w:tblCellMar>
          <w:top w:w="28" w:type="dxa"/>
          <w:left w:w="28" w:type="dxa"/>
          <w:bottom w:w="28" w:type="dxa"/>
          <w:right w:w="28" w:type="dxa"/>
        </w:tblCellMar>
      </w:tblPr>
      <w:tblGrid>
        <w:gridCol w:w="1024"/>
        <w:gridCol w:w="900"/>
        <w:gridCol w:w="910"/>
        <w:gridCol w:w="564"/>
        <w:gridCol w:w="564"/>
        <w:gridCol w:w="566"/>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PPHC</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w:t>
            </w:r>
          </w:p>
        </w:tc>
      </w:tr>
      <w:tr>
        <w:trPr/>
        <w:tc>
          <w:tcPr>
            <w:tcW w:w="2834" w:type="dxa"/>
            <w:gridSpan w:val="3"/>
            <w:tcBorders>
              <w:top w:val="single" w:sz="8" w:space="0" w:color="000000"/>
              <w:left w:val="single" w:sz="8" w:space="0" w:color="000000"/>
            </w:tcBorders>
            <w:tcMar>
              <w:bottom w:w="0" w:type="dxa"/>
              <w:right w:w="0" w:type="dxa"/>
            </w:tcMar>
            <w:vAlign w:val="center"/>
          </w:tcPr>
          <w:p>
            <w:pPr>
              <w:pStyle w:val="TableContents"/>
              <w:bidi w:val="0"/>
              <w:spacing w:before="23" w:after="20"/>
              <w:jc w:val="center"/>
              <w:rPr/>
            </w:pPr>
            <w:r>
              <w:rPr/>
            </w:r>
          </w:p>
        </w:tc>
        <w:tc>
          <w:tcPr>
            <w:tcW w:w="1694" w:type="dxa"/>
            <w:gridSpan w:val="3"/>
            <w:tcBorders>
              <w:top w:val="single" w:sz="8" w:space="0" w:color="000000"/>
              <w:left w:val="single" w:sz="8" w:space="0" w:color="000000"/>
            </w:tcBorders>
            <w:tcMar>
              <w:bottom w:w="0" w:type="dxa"/>
              <w:right w:w="0" w:type="dxa"/>
            </w:tcMar>
            <w:vAlign w:val="center"/>
          </w:tcPr>
          <w:p>
            <w:pPr>
              <w:pStyle w:val="TableContents"/>
              <w:bidi w:val="0"/>
              <w:spacing w:before="23" w:after="20"/>
              <w:jc w:val="center"/>
              <w:rPr/>
            </w:pPr>
            <w:r>
              <w:rPr/>
            </w:r>
          </w:p>
        </w:tc>
        <w:tc>
          <w:tcPr>
            <w:tcW w:w="382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23" w:after="20"/>
              <w:jc w:val="center"/>
              <w:rPr/>
            </w:pPr>
            <w:r>
              <w:rPr/>
            </w:r>
          </w:p>
        </w:tc>
      </w:tr>
      <w:tr>
        <w:trPr/>
        <w:tc>
          <w:tcPr>
            <w:tcW w:w="283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23" w:after="20"/>
              <w:jc w:val="center"/>
              <w:rPr/>
            </w:pPr>
            <w:r>
              <w:rPr/>
            </w:r>
          </w:p>
        </w:tc>
        <w:tc>
          <w:tcPr>
            <w:tcW w:w="169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23" w:after="20"/>
              <w:jc w:val="center"/>
              <w:rPr/>
            </w:pPr>
            <w:r>
              <w:rPr/>
            </w:r>
          </w:p>
        </w:tc>
        <w:tc>
          <w:tcPr>
            <w:tcW w:w="382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3" w:after="20"/>
              <w:jc w:val="center"/>
              <w:rPr/>
            </w:pPr>
            <w:r>
              <w:rPr/>
            </w:r>
          </w:p>
        </w:tc>
      </w:tr>
    </w:tbl>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0"/>
        <w:jc w:val="right"/>
        <w:rPr>
          <w:rFonts w:ascii="Wingdings;sans-serif" w:hAnsi="Wingdings;sans-serif"/>
          <w:b w:val="false"/>
          <w:color w:val="000000"/>
          <w:sz w:val="20"/>
        </w:rPr>
      </w:pPr>
      <w:r>
        <w:rPr>
          <w:rFonts w:ascii="Wingdings;sans-serif" w:hAnsi="Wingdings;sans-serif"/>
          <w:b w:val="false"/>
          <w:color w:val="000000"/>
          <w:sz w:val="20"/>
        </w:rPr>
        <w:t>x</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August 7, 2026, Public Policy Holding Company, Inc. had 30,216,533 shares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882" w:type="dxa"/>
        <w:jc w:val="left"/>
        <w:tblInd w:w="0" w:type="dxa"/>
        <w:tblLayout w:type="fixed"/>
        <w:tblCellMar>
          <w:top w:w="28" w:type="dxa"/>
          <w:left w:w="28" w:type="dxa"/>
          <w:bottom w:w="28" w:type="dxa"/>
          <w:right w:w="28" w:type="dxa"/>
        </w:tblCellMar>
      </w:tblPr>
      <w:tblGrid>
        <w:gridCol w:w="353"/>
        <w:gridCol w:w="310"/>
        <w:gridCol w:w="313"/>
        <w:gridCol w:w="2444"/>
        <w:gridCol w:w="2444"/>
        <w:gridCol w:w="2447"/>
        <w:gridCol w:w="167"/>
        <w:gridCol w:w="167"/>
        <w:gridCol w:w="237"/>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205c5d90abd40f8965784bd20691379_10">
              <w:r>
                <w:rPr>
                  <w:rStyle w:val="InternetLink"/>
                  <w:rFonts w:ascii="Times New Roman;serif" w:hAnsi="Times New Roman;serif"/>
                  <w:b/>
                  <w:color w:val="0000FF"/>
                  <w:sz w:val="20"/>
                  <w:u w:val="single"/>
                </w:rPr>
                <w:t>PART I - FINANCIAL INFORMATION</w:t>
              </w:r>
            </w:hyperlink>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367">
              <w:r>
                <w:rPr>
                  <w:rStyle w:val="InternetLink"/>
                  <w:rFonts w:ascii="Times New Roman;serif" w:hAnsi="Times New Roman;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13">
              <w:r>
                <w:rPr>
                  <w:rStyle w:val="InternetLink"/>
                  <w:rFonts w:ascii="Times New Roman;serif" w:hAnsi="Times New Roman;serif"/>
                  <w:b w:val="false"/>
                  <w:color w:val="0000FF"/>
                  <w:sz w:val="20"/>
                  <w:u w:val="single"/>
                </w:rPr>
                <w:t>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a205c5d90abd40f8965784bd20691379_13">
              <w:r>
                <w:rPr>
                  <w:rStyle w:val="InternetLink"/>
                  <w:rFonts w:ascii="Times New Roman;serif" w:hAnsi="Times New Roman;serif"/>
                  <w:b w:val="false"/>
                  <w:strike w:val="false"/>
                  <w:dstrike w:val="false"/>
                  <w:color w:val="000000"/>
                  <w:sz w:val="20"/>
                  <w:u w:val="none"/>
                  <w:effect w:val="none"/>
                </w:rPr>
                <w:t>2</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19">
              <w:r>
                <w:rPr>
                  <w:rStyle w:val="InternetLink"/>
                  <w:rFonts w:ascii="Times New Roman;serif" w:hAnsi="Times New Roman;serif"/>
                  <w:b w:val="false"/>
                  <w:color w:val="0000FF"/>
                  <w:sz w:val="20"/>
                  <w:u w:val="single"/>
                </w:rPr>
                <w:t>Condensed 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a205c5d90abd40f8965784bd20691379_19">
              <w:r>
                <w:rPr>
                  <w:rStyle w:val="InternetLink"/>
                  <w:rFonts w:ascii="Times New Roman;serif" w:hAnsi="Times New Roman;serif"/>
                  <w:b w:val="false"/>
                  <w:strike w:val="false"/>
                  <w:dstrike w:val="false"/>
                  <w:color w:val="000000"/>
                  <w:sz w:val="20"/>
                  <w:u w:val="none"/>
                  <w:effect w:val="none"/>
                </w:rPr>
                <w:t>2</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22">
              <w:r>
                <w:rPr>
                  <w:rStyle w:val="InternetLink"/>
                  <w:rFonts w:ascii="Times New Roman;serif" w:hAnsi="Times New Roman;serif"/>
                  <w:b w:val="false"/>
                  <w:color w:val="0000FF"/>
                  <w:sz w:val="20"/>
                  <w:u w:val="single"/>
                </w:rPr>
                <w:t>Condensed Consolidated Statements of Operations and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a205c5d90abd40f8965784bd20691379_22">
              <w:r>
                <w:rPr>
                  <w:rStyle w:val="InternetLink"/>
                  <w:rFonts w:ascii="Times New Roman;serif" w:hAnsi="Times New Roman;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25">
              <w:r>
                <w:rPr>
                  <w:rStyle w:val="InternetLink"/>
                  <w:rFonts w:ascii="Times New Roman;serif" w:hAnsi="Times New Roman;serif"/>
                  <w:b w:val="false"/>
                  <w:color w:val="0000FF"/>
                  <w:sz w:val="20"/>
                  <w:u w:val="single"/>
                </w:rPr>
                <w:t>Condensed Consolidated Statements of Shareholders'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a205c5d90abd40f8965784bd20691379_25">
              <w:r>
                <w:rPr>
                  <w:rStyle w:val="InternetLink"/>
                  <w:rFonts w:ascii="Times New Roman;serif" w:hAnsi="Times New Roman;serif"/>
                  <w:b w:val="false"/>
                  <w:strike w:val="false"/>
                  <w:dstrike w:val="false"/>
                  <w:color w:val="000000"/>
                  <w:sz w:val="20"/>
                  <w:u w:val="none"/>
                  <w:effect w:val="none"/>
                </w:rPr>
                <w:t>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28">
              <w:r>
                <w:rPr>
                  <w:rStyle w:val="InternetLink"/>
                  <w:rFonts w:ascii="Times New Roman;serif" w:hAnsi="Times New Roman;serif"/>
                  <w:b w:val="false"/>
                  <w:color w:val="0000FF"/>
                  <w:sz w:val="20"/>
                  <w:u w:val="single"/>
                </w:rPr>
                <w:t>Condensed 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a205c5d90abd40f8965784bd20691379_28">
              <w:r>
                <w:rPr>
                  <w:rStyle w:val="InternetLink"/>
                  <w:rFonts w:ascii="Times New Roman;serif" w:hAnsi="Times New Roman;serif"/>
                  <w:b w:val="false"/>
                  <w:strike w:val="false"/>
                  <w:dstrike w:val="false"/>
                  <w:color w:val="000000"/>
                  <w:sz w:val="20"/>
                  <w:u w:val="none"/>
                  <w:effect w:val="non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31">
              <w:r>
                <w:rPr>
                  <w:rStyle w:val="InternetLink"/>
                  <w:rFonts w:ascii="Times New Roman;serif" w:hAnsi="Times New Roman;serif"/>
                  <w:b w:val="false"/>
                  <w:color w:val="0000FF"/>
                  <w:sz w:val="20"/>
                  <w:u w:val="single"/>
                </w:rPr>
                <w:t>Notes to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a205c5d90abd40f8965784bd20691379_31">
              <w:r>
                <w:rPr>
                  <w:rStyle w:val="InternetLink"/>
                  <w:rFonts w:ascii="Times New Roman;serif" w:hAnsi="Times New Roman;serif"/>
                  <w:b w:val="false"/>
                  <w:strike w:val="false"/>
                  <w:dstrike w:val="false"/>
                  <w:color w:val="000000"/>
                  <w:sz w:val="20"/>
                  <w:u w:val="none"/>
                  <w:effect w:val="none"/>
                </w:rPr>
                <w:t>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136">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13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a205c5d90abd40f8965784bd20691379_136">
              <w:r>
                <w:rPr>
                  <w:rStyle w:val="InternetLink"/>
                  <w:rFonts w:ascii="Times New Roman;serif" w:hAnsi="Times New Roman;serif"/>
                  <w:b w:val="false"/>
                  <w:strike w:val="false"/>
                  <w:dstrike w:val="false"/>
                  <w:color w:val="000000"/>
                  <w:sz w:val="20"/>
                  <w:u w:val="none"/>
                  <w:effect w:val="none"/>
                </w:rPr>
                <w:t>29</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139">
              <w:r>
                <w:rPr>
                  <w:rStyle w:val="InternetLink"/>
                  <w:rFonts w:ascii="Times New Roman;serif" w:hAnsi="Times New Roman;serif"/>
                  <w:b w:val="false"/>
                  <w:color w:val="0000FF"/>
                  <w:sz w:val="20"/>
                  <w:u w:val="single"/>
                </w:rPr>
                <w:t>Forward-Looking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a205c5d90abd40f8965784bd20691379_139">
              <w:r>
                <w:rPr>
                  <w:rStyle w:val="InternetLink"/>
                  <w:rFonts w:ascii="Times New Roman;serif" w:hAnsi="Times New Roman;serif"/>
                  <w:b w:val="false"/>
                  <w:strike w:val="false"/>
                  <w:dstrike w:val="false"/>
                  <w:color w:val="000000"/>
                  <w:sz w:val="20"/>
                  <w:u w:val="none"/>
                  <w:effect w:val="none"/>
                </w:rPr>
                <w:t>29</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142">
              <w:r>
                <w:rPr>
                  <w:rStyle w:val="InternetLink"/>
                  <w:rFonts w:ascii="Times New Roman;serif" w:hAnsi="Times New Roman;serif"/>
                  <w:b w:val="false"/>
                  <w:color w:val="0000FF"/>
                  <w:sz w:val="20"/>
                  <w:u w:val="single"/>
                </w:rPr>
                <w:t>Executive Highlights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a205c5d90abd40f8965784bd20691379_142">
              <w:r>
                <w:rPr>
                  <w:rStyle w:val="InternetLink"/>
                  <w:rFonts w:ascii="Times New Roman;serif" w:hAnsi="Times New Roman;serif"/>
                  <w:b w:val="false"/>
                  <w:strike w:val="false"/>
                  <w:dstrike w:val="false"/>
                  <w:color w:val="000000"/>
                  <w:sz w:val="20"/>
                  <w:u w:val="none"/>
                  <w:effect w:val="none"/>
                </w:rPr>
                <w:t>29</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178">
              <w:r>
                <w:rPr>
                  <w:rStyle w:val="InternetLink"/>
                  <w:rFonts w:ascii="Times New Roman;serif" w:hAnsi="Times New Roman;serif"/>
                  <w:b w:val="false"/>
                  <w:color w:val="0000FF"/>
                  <w:sz w:val="20"/>
                  <w:u w:val="single"/>
                </w:rPr>
                <w:t>Consolidated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a205c5d90abd40f8965784bd20691379_178">
              <w:r>
                <w:rPr>
                  <w:rStyle w:val="InternetLink"/>
                  <w:rFonts w:ascii="Times New Roman;serif" w:hAnsi="Times New Roman;serif"/>
                  <w:b w:val="false"/>
                  <w:strike w:val="false"/>
                  <w:dstrike w:val="false"/>
                  <w:color w:val="000000"/>
                  <w:sz w:val="20"/>
                  <w:u w:val="none"/>
                  <w:effect w:val="none"/>
                </w:rPr>
                <w:t>33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217">
              <w:r>
                <w:rPr>
                  <w:rStyle w:val="InternetLink"/>
                  <w:rFonts w:ascii="Times New Roman;serif" w:hAnsi="Times New Roman;serif"/>
                  <w:b w:val="false"/>
                  <w:color w:val="0000FF"/>
                  <w:sz w:val="20"/>
                  <w:u w:val="single"/>
                </w:rPr>
                <w:t>Non-GAAP Financial Measures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a205c5d90abd40f8965784bd20691379_217">
              <w:r>
                <w:rPr>
                  <w:rStyle w:val="InternetLink"/>
                  <w:rFonts w:ascii="Times New Roman;serif" w:hAnsi="Times New Roman;serif"/>
                  <w:b w:val="false"/>
                  <w:strike w:val="false"/>
                  <w:dstrike w:val="false"/>
                  <w:color w:val="000000"/>
                  <w:sz w:val="20"/>
                  <w:u w:val="none"/>
                  <w:effect w:val="none"/>
                </w:rPr>
                <w:t>41</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220">
              <w:r>
                <w:rPr>
                  <w:rStyle w:val="InternetLink"/>
                  <w:rFonts w:ascii="Times New Roman;serif" w:hAnsi="Times New Roman;serif"/>
                  <w:b w:val="false"/>
                  <w:color w:val="0000FF"/>
                  <w:sz w:val="20"/>
                  <w:u w:val="single"/>
                </w:rPr>
                <w:t>Liquidity and Capital Resources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a205c5d90abd40f8965784bd20691379_220">
              <w:r>
                <w:rPr>
                  <w:rStyle w:val="InternetLink"/>
                  <w:rFonts w:ascii="Times New Roman;serif" w:hAnsi="Times New Roman;serif"/>
                  <w:b w:val="false"/>
                  <w:strike w:val="false"/>
                  <w:dstrike w:val="false"/>
                  <w:color w:val="000000"/>
                  <w:sz w:val="20"/>
                  <w:u w:val="none"/>
                  <w:effect w:val="none"/>
                </w:rPr>
                <w:t>41</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256">
              <w:r>
                <w:rPr>
                  <w:rStyle w:val="InternetLink"/>
                  <w:rFonts w:ascii="Times New Roman;serif" w:hAnsi="Times New Roman;serif"/>
                  <w:b w:val="false"/>
                  <w:color w:val="0000FF"/>
                  <w:sz w:val="20"/>
                  <w:u w:val="single"/>
                </w:rPr>
                <w:t>Off-Balance Sheet Arrangements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a205c5d90abd40f8965784bd20691379_256">
              <w:r>
                <w:rPr>
                  <w:rStyle w:val="InternetLink"/>
                  <w:rFonts w:ascii="Times New Roman;serif" w:hAnsi="Times New Roman;serif"/>
                  <w:b w:val="false"/>
                  <w:strike w:val="false"/>
                  <w:dstrike w:val="false"/>
                  <w:color w:val="000000"/>
                  <w:sz w:val="20"/>
                  <w:u w:val="none"/>
                  <w:effect w:val="none"/>
                </w:rPr>
                <w:t>45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259">
              <w:r>
                <w:rPr>
                  <w:rStyle w:val="InternetLink"/>
                  <w:rFonts w:ascii="Times New Roman;serif" w:hAnsi="Times New Roman;serif"/>
                  <w:b w:val="false"/>
                  <w:color w:val="0000FF"/>
                  <w:sz w:val="20"/>
                  <w:u w:val="single"/>
                </w:rPr>
                <w:t>Critical Accounting Estimates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a205c5d90abd40f8965784bd20691379_259">
              <w:r>
                <w:rPr>
                  <w:rStyle w:val="InternetLink"/>
                  <w:rFonts w:ascii="Times New Roman;serif" w:hAnsi="Times New Roman;serif"/>
                  <w:b w:val="false"/>
                  <w:strike w:val="false"/>
                  <w:dstrike w:val="false"/>
                  <w:color w:val="000000"/>
                  <w:sz w:val="20"/>
                  <w:u w:val="none"/>
                  <w:effect w:val="none"/>
                </w:rPr>
                <w:t>45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286">
              <w:r>
                <w:rPr>
                  <w:rStyle w:val="InternetLink"/>
                  <w:rFonts w:ascii="Times New Roman;serif" w:hAnsi="Times New Roman;serif"/>
                  <w:b w:val="false"/>
                  <w:color w:val="0000FF"/>
                  <w:sz w:val="20"/>
                  <w:u w:val="singl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286">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a205c5d90abd40f8965784bd20691379_286">
              <w:r>
                <w:rPr>
                  <w:rStyle w:val="InternetLink"/>
                  <w:rFonts w:ascii="Times New Roman;serif" w:hAnsi="Times New Roman;serif"/>
                  <w:b w:val="false"/>
                  <w:strike w:val="false"/>
                  <w:dstrike w:val="false"/>
                  <w:color w:val="000000"/>
                  <w:sz w:val="20"/>
                  <w:u w:val="none"/>
                  <w:effect w:val="none"/>
                </w:rPr>
                <w:t>47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289">
              <w:r>
                <w:rPr>
                  <w:rStyle w:val="InternetLink"/>
                  <w:rFonts w:ascii="Times New Roman;serif" w:hAnsi="Times New Roman;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289">
              <w:r>
                <w:rPr>
                  <w:rStyle w:val="InternetLink"/>
                  <w:rFonts w:ascii="Times New Roman;serif" w:hAnsi="Times New Roman;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a205c5d90abd40f8965784bd20691379_289">
              <w:r>
                <w:rPr>
                  <w:rStyle w:val="InternetLink"/>
                  <w:rFonts w:ascii="Times New Roman;serif" w:hAnsi="Times New Roman;serif"/>
                  <w:b w:val="false"/>
                  <w:strike w:val="false"/>
                  <w:dstrike w:val="false"/>
                  <w:color w:val="000000"/>
                  <w:sz w:val="20"/>
                  <w:u w:val="none"/>
                  <w:effect w:val="none"/>
                </w:rPr>
                <w:t>47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205c5d90abd40f8965784bd20691379_310">
              <w:r>
                <w:rPr>
                  <w:rStyle w:val="InternetLink"/>
                  <w:rFonts w:ascii="Times New Roman;serif" w:hAnsi="Times New Roman;serif"/>
                  <w:b/>
                  <w:color w:val="0000FF"/>
                  <w:sz w:val="20"/>
                  <w:u w:val="single"/>
                </w:rPr>
                <w:t>PART II - OTHER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313">
              <w:r>
                <w:rPr>
                  <w:rStyle w:val="InternetLink"/>
                  <w:rFonts w:ascii="Times New Roman;serif" w:hAnsi="Times New Roman;serif"/>
                  <w:b w:val="false"/>
                  <w:color w:val="0000FF"/>
                  <w:sz w:val="20"/>
                  <w:u w:val="single"/>
                </w:rPr>
                <w:t xml:space="preserve">Item 1. </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313">
              <w:r>
                <w:rPr>
                  <w:rStyle w:val="InternetLink"/>
                  <w:rFonts w:ascii="Times New Roman;serif" w:hAnsi="Times New Roman;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a205c5d90abd40f8965784bd20691379_313">
              <w:r>
                <w:rPr>
                  <w:rStyle w:val="InternetLink"/>
                  <w:rFonts w:ascii="Times New Roman;serif" w:hAnsi="Times New Roman;serif"/>
                  <w:b w:val="false"/>
                  <w:strike w:val="false"/>
                  <w:dstrike w:val="false"/>
                  <w:color w:val="000000"/>
                  <w:sz w:val="20"/>
                  <w:u w:val="none"/>
                  <w:effect w:val="none"/>
                </w:rPr>
                <w:t>49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316">
              <w:r>
                <w:rPr>
                  <w:rStyle w:val="InternetLink"/>
                  <w:rFonts w:ascii="Times New Roman;serif" w:hAnsi="Times New Roman;serif"/>
                  <w:b w:val="false"/>
                  <w:color w:val="0000FF"/>
                  <w:sz w:val="20"/>
                  <w:u w:val="single"/>
                </w:rPr>
                <w:t>Item 1A.</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316">
              <w:r>
                <w:rPr>
                  <w:rStyle w:val="InternetLink"/>
                  <w:rFonts w:ascii="Times New Roman;serif" w:hAnsi="Times New Roman;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a205c5d90abd40f8965784bd20691379_316">
              <w:r>
                <w:rPr>
                  <w:rStyle w:val="InternetLink"/>
                  <w:rFonts w:ascii="Times New Roman;serif" w:hAnsi="Times New Roman;serif"/>
                  <w:b w:val="false"/>
                  <w:strike w:val="false"/>
                  <w:dstrike w:val="false"/>
                  <w:color w:val="000000"/>
                  <w:sz w:val="20"/>
                  <w:u w:val="none"/>
                  <w:effect w:val="none"/>
                </w:rPr>
                <w:t>49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325">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325">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a205c5d90abd40f8965784bd20691379_325">
              <w:r>
                <w:rPr>
                  <w:rStyle w:val="InternetLink"/>
                  <w:rFonts w:ascii="Times New Roman;serif" w:hAnsi="Times New Roman;serif"/>
                  <w:b w:val="false"/>
                  <w:strike w:val="false"/>
                  <w:dstrike w:val="false"/>
                  <w:color w:val="000000"/>
                  <w:sz w:val="20"/>
                  <w:u w:val="none"/>
                  <w:effect w:val="none"/>
                </w:rPr>
                <w:t>49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337">
              <w:r>
                <w:rPr>
                  <w:rStyle w:val="InternetLink"/>
                  <w:rFonts w:ascii="Times New Roman;serif" w:hAnsi="Times New Roman;serif"/>
                  <w:b w:val="false"/>
                  <w:color w:val="0000FF"/>
                  <w:sz w:val="20"/>
                  <w:u w:val="singl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337">
              <w:r>
                <w:rPr>
                  <w:rStyle w:val="InternetLink"/>
                  <w:rFonts w:ascii="Times New Roman;serif" w:hAnsi="Times New Roman;serif"/>
                  <w:b w:val="false"/>
                  <w:color w:val="0000FF"/>
                  <w:sz w:val="20"/>
                  <w:u w:val="single"/>
                </w:rPr>
                <w:t>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a205c5d90abd40f8965784bd20691379_325">
              <w:r>
                <w:rPr>
                  <w:rStyle w:val="InternetLink"/>
                  <w:rFonts w:ascii="Times New Roman;serif" w:hAnsi="Times New Roman;serif"/>
                  <w:b w:val="false"/>
                  <w:strike w:val="false"/>
                  <w:dstrike w:val="false"/>
                  <w:color w:val="000000"/>
                  <w:sz w:val="20"/>
                  <w:u w:val="none"/>
                  <w:effect w:val="none"/>
                </w:rPr>
                <w:t>49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340">
              <w:r>
                <w:rPr>
                  <w:rStyle w:val="InternetLink"/>
                  <w:rFonts w:ascii="Times New Roman;serif" w:hAnsi="Times New Roman;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340">
              <w:r>
                <w:rPr>
                  <w:rStyle w:val="InternetLink"/>
                  <w:rFonts w:ascii="Times New Roman;serif" w:hAnsi="Times New Roman;serif"/>
                  <w:b w:val="false"/>
                  <w:color w:val="0000FF"/>
                  <w:sz w:val="20"/>
                  <w:u w:val="single"/>
                </w:rPr>
                <w:t>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a205c5d90abd40f8965784bd20691379_340">
              <w:r>
                <w:rPr>
                  <w:rStyle w:val="InternetLink"/>
                  <w:rFonts w:ascii="Times New Roman;serif" w:hAnsi="Times New Roman;serif"/>
                  <w:b w:val="false"/>
                  <w:strike w:val="false"/>
                  <w:dstrike w:val="false"/>
                  <w:color w:val="000000"/>
                  <w:sz w:val="20"/>
                  <w:u w:val="none"/>
                  <w:effect w:val="none"/>
                </w:rPr>
                <w:t>50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343">
              <w:r>
                <w:rPr>
                  <w:rStyle w:val="InternetLink"/>
                  <w:rFonts w:ascii="Times New Roman;serif" w:hAnsi="Times New Roman;serif"/>
                  <w:b w:val="false"/>
                  <w:color w:val="0000FF"/>
                  <w:sz w:val="20"/>
                  <w:u w:val="single"/>
                </w:rPr>
                <w:t>Item 5.</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343">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a205c5d90abd40f8965784bd20691379_343">
              <w:r>
                <w:rPr>
                  <w:rStyle w:val="InternetLink"/>
                  <w:rFonts w:ascii="Times New Roman;serif" w:hAnsi="Times New Roman;serif"/>
                  <w:b w:val="false"/>
                  <w:strike w:val="false"/>
                  <w:dstrike w:val="false"/>
                  <w:color w:val="000000"/>
                  <w:sz w:val="20"/>
                  <w:u w:val="none"/>
                  <w:effect w:val="none"/>
                </w:rPr>
                <w:t>51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346">
              <w:r>
                <w:rPr>
                  <w:rStyle w:val="InternetLink"/>
                  <w:rFonts w:ascii="Times New Roman;serif" w:hAnsi="Times New Roman;serif"/>
                  <w:b w:val="false"/>
                  <w:color w:val="0000FF"/>
                  <w:sz w:val="20"/>
                  <w:u w:val="single"/>
                </w:rPr>
                <w:t>Item 6.</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346">
              <w:r>
                <w:rPr>
                  <w:rStyle w:val="InternetLink"/>
                  <w:rFonts w:ascii="Times New Roman;serif" w:hAnsi="Times New Roman;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205c5d90abd40f8965784bd20691379_346">
              <w:r>
                <w:rPr>
                  <w:rStyle w:val="InternetLink"/>
                  <w:rFonts w:ascii="Times New Roman;serif" w:hAnsi="Times New Roman;serif"/>
                  <w:b w:val="false"/>
                  <w:strike w:val="false"/>
                  <w:dstrike w:val="false"/>
                  <w:color w:val="000000"/>
                  <w:sz w:val="20"/>
                  <w:u w:val="none"/>
                  <w:effect w:val="none"/>
                </w:rPr>
                <w:t>51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355">
              <w:r>
                <w:rPr>
                  <w:rStyle w:val="InternetLink"/>
                  <w:rFonts w:ascii="Times New Roman;serif" w:hAnsi="Times New Roman;serif"/>
                  <w:b w:val="false"/>
                  <w:color w:val="0000FF"/>
                  <w:sz w:val="20"/>
                  <w:u w:val="single"/>
                </w:rPr>
                <w:t>Signatures</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05c5d90abd40f8965784bd20691379_355">
              <w:r>
                <w:rPr>
                  <w:rStyle w:val="InternetLink"/>
                  <w:color w:val="0000FF"/>
                  <w:u w:val="single"/>
                </w:rPr>
                <w:t> </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a205c5d90abd40f8965784bd20691379_355">
              <w:r>
                <w:rPr>
                  <w:rStyle w:val="InternetLink"/>
                  <w:rFonts w:ascii="Times New Roman;serif" w:hAnsi="Times New Roman;serif"/>
                  <w:b w:val="false"/>
                  <w:strike w:val="false"/>
                  <w:dstrike w:val="false"/>
                  <w:color w:val="000000"/>
                  <w:sz w:val="20"/>
                  <w:u w:val="none"/>
                  <w:effect w:val="none"/>
                </w:rPr>
                <w:t>52</w:t>
              </w:r>
            </w:hyperlink>
          </w:p>
        </w:tc>
      </w:tr>
    </w:tbl>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(Amounts in thousands, except share and per share data)</w:t>
      </w:r>
    </w:p>
    <w:tbl>
      <w:tblPr>
        <w:tblW w:w="10205" w:type="dxa"/>
        <w:jc w:val="left"/>
        <w:tblInd w:w="0" w:type="dxa"/>
        <w:tblLayout w:type="fixed"/>
        <w:tblCellMar>
          <w:top w:w="28" w:type="dxa"/>
          <w:left w:w="28" w:type="dxa"/>
          <w:bottom w:w="28" w:type="dxa"/>
          <w:right w:w="28" w:type="dxa"/>
        </w:tblCellMar>
      </w:tblPr>
      <w:tblGrid>
        <w:gridCol w:w="2964"/>
        <w:gridCol w:w="2226"/>
        <w:gridCol w:w="2236"/>
        <w:gridCol w:w="204"/>
        <w:gridCol w:w="786"/>
        <w:gridCol w:w="113"/>
        <w:gridCol w:w="109"/>
        <w:gridCol w:w="109"/>
        <w:gridCol w:w="109"/>
        <w:gridCol w:w="239"/>
        <w:gridCol w:w="917"/>
        <w:gridCol w:w="193"/>
      </w:tblGrid>
      <w:tr>
        <w:trPr/>
        <w:tc>
          <w:tcPr>
            <w:tcW w:w="2964"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ASSETS:</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36,923</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20,436 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Contract receivables, net </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30,905</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21,851 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 - related parties, current portion</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350</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post-combination compensation, current portion</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6,705</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5,006</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9,598 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Amounts due from related parties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79,889</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58,554 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Property and equipment at cost, less accumulated depreciation</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1,143</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 - related parties, long term</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900</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 of use asset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27,594</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18,829 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57,153</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56,990 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intangible assets, net of accumulated amortization</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35,002</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37,113 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asset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29,759</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post-combination compensation, long term</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8,869</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447</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ASSETS</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240,756</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202,552</w:t>
            </w: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20,828</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30,819 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2,880</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Amounts owed to related parties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6,245</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current portion</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5,271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current portion</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2,098</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liability, current portion</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2,595</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 current portion, net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9,867</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9,082 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49,798</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52,856 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 long term, net</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32,286</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37,906 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long term</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14,601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9,864 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liability, long term</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8,296</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10,553 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long term</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24,832</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16,469 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129,813</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127,648 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1,000,000,000 shares authorized, 29,895,289 and 25,174,492 shares issued and outstanding as of June 30, 2026 and December 31, 2025, respectively</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295,734</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237,075 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(185,653)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(163,381)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834</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110,943</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74,904 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AND SHAREHOLDERS' EQUITY</w:t>
            </w:r>
          </w:p>
        </w:tc>
        <w:tc>
          <w:tcPr>
            <w:tcW w:w="2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240,756</w:t>
            </w:r>
            <w:r>
              <w:rPr>
                <w:color w:val="000000"/>
              </w:rPr>
              <w:t> </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202,552</w:t>
            </w:r>
            <w:r>
              <w:rPr>
                <w:color w:val="000000"/>
              </w:rPr>
              <w:t> </w:t>
            </w:r>
          </w:p>
        </w:tc>
        <w:tc>
          <w:tcPr>
            <w:tcW w:w="1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the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AND COMPREHENSIVE LOSS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(Amounts in thousands, except share and per share data)</w:t>
      </w:r>
    </w:p>
    <w:tbl>
      <w:tblPr>
        <w:tblW w:w="10205" w:type="dxa"/>
        <w:jc w:val="left"/>
        <w:tblInd w:w="0" w:type="dxa"/>
        <w:tblLayout w:type="fixed"/>
        <w:tblCellMar>
          <w:top w:w="28" w:type="dxa"/>
          <w:left w:w="28" w:type="dxa"/>
          <w:bottom w:w="28" w:type="dxa"/>
          <w:right w:w="28" w:type="dxa"/>
        </w:tblCellMar>
      </w:tblPr>
      <w:tblGrid>
        <w:gridCol w:w="1698"/>
        <w:gridCol w:w="1433"/>
        <w:gridCol w:w="1448"/>
        <w:gridCol w:w="109"/>
        <w:gridCol w:w="109"/>
        <w:gridCol w:w="109"/>
        <w:gridCol w:w="206"/>
        <w:gridCol w:w="698"/>
        <w:gridCol w:w="114"/>
        <w:gridCol w:w="114"/>
        <w:gridCol w:w="114"/>
        <w:gridCol w:w="114"/>
        <w:gridCol w:w="206"/>
        <w:gridCol w:w="683"/>
        <w:gridCol w:w="114"/>
        <w:gridCol w:w="109"/>
        <w:gridCol w:w="109"/>
        <w:gridCol w:w="109"/>
        <w:gridCol w:w="196"/>
        <w:gridCol w:w="751"/>
        <w:gridCol w:w="109"/>
        <w:gridCol w:w="109"/>
        <w:gridCol w:w="109"/>
        <w:gridCol w:w="109"/>
        <w:gridCol w:w="196"/>
        <w:gridCol w:w="710"/>
        <w:gridCol w:w="320"/>
      </w:tblGrid>
      <w:tr>
        <w:trPr/>
        <w:tc>
          <w:tcPr>
            <w:tcW w:w="169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52,143</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48,588 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102,266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87,899 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other personnel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38,784</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38,783 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77,986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72,665 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Office and other direct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2,008</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3,767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40,792</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40,596 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81,753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75,951 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general and administrative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12,077</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9,537 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21,363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17,026 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Mergers and acquisitions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802</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1,466</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2,971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892</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7,195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56,029</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53,484 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114,336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98,697 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Loss from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(3,886)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(12,070)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(10,798)</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bargain purchase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846</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255</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(725)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w:t>
            </w:r>
          </w:p>
        </w:tc>
        <w:tc>
          <w:tcPr>
            <w:tcW w:w="32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128</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 before income taxes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(3,382)</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(5,754)</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(12,138)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(12,258)</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(352)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(3,092)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(4,088)</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(3,734)</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(5,730)</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(15,230)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(16,346)</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common shareholders,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(0.19)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basic and diluted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24,951,184</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17,183,129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24,130,718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17,044,164</w:t>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(3,734)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(5,730)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(16,346)</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comprehensive loss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(3,763)</w:t>
            </w:r>
          </w:p>
        </w:tc>
        <w:tc>
          <w:tcPr>
            <w:tcW w:w="1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(4,210)</w:t>
            </w:r>
          </w:p>
        </w:tc>
        <w:tc>
          <w:tcPr>
            <w:tcW w:w="1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(15,583)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(14,104)</w:t>
            </w:r>
          </w:p>
        </w:tc>
        <w:tc>
          <w:tcPr>
            <w:tcW w:w="3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the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(Amounts in thousands, except share and per share data)</w:t>
      </w:r>
    </w:p>
    <w:tbl>
      <w:tblPr>
        <w:tblW w:w="10205" w:type="dxa"/>
        <w:jc w:val="left"/>
        <w:tblInd w:w="0" w:type="dxa"/>
        <w:tblLayout w:type="fixed"/>
        <w:tblCellMar>
          <w:top w:w="28" w:type="dxa"/>
          <w:left w:w="28" w:type="dxa"/>
          <w:bottom w:w="28" w:type="dxa"/>
          <w:right w:w="28" w:type="dxa"/>
        </w:tblCellMar>
      </w:tblPr>
      <w:tblGrid>
        <w:gridCol w:w="948"/>
        <w:gridCol w:w="455"/>
        <w:gridCol w:w="457"/>
        <w:gridCol w:w="304"/>
        <w:gridCol w:w="304"/>
        <w:gridCol w:w="308"/>
        <w:gridCol w:w="109"/>
        <w:gridCol w:w="109"/>
        <w:gridCol w:w="109"/>
        <w:gridCol w:w="208"/>
        <w:gridCol w:w="367"/>
        <w:gridCol w:w="116"/>
        <w:gridCol w:w="109"/>
        <w:gridCol w:w="109"/>
        <w:gridCol w:w="109"/>
        <w:gridCol w:w="219"/>
        <w:gridCol w:w="839"/>
        <w:gridCol w:w="121"/>
        <w:gridCol w:w="109"/>
        <w:gridCol w:w="109"/>
        <w:gridCol w:w="109"/>
        <w:gridCol w:w="206"/>
        <w:gridCol w:w="801"/>
        <w:gridCol w:w="114"/>
        <w:gridCol w:w="109"/>
        <w:gridCol w:w="109"/>
        <w:gridCol w:w="109"/>
        <w:gridCol w:w="343"/>
        <w:gridCol w:w="1000"/>
        <w:gridCol w:w="192"/>
        <w:gridCol w:w="109"/>
        <w:gridCol w:w="109"/>
        <w:gridCol w:w="109"/>
        <w:gridCol w:w="224"/>
        <w:gridCol w:w="861"/>
        <w:gridCol w:w="183"/>
      </w:tblGrid>
      <w:tr>
        <w:trPr/>
        <w:tc>
          <w:tcPr>
            <w:tcW w:w="94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Total Shareholders' Equity</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as of December 31, 2025</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25,174,492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237,075</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(163,381)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1,186</w:t>
            </w: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74,904</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Long term incentive program charges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1,530 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unvested legally outstanding shares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2026 U.S. IPO Issuance, net of underwriting discounts and offering expenses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3,742,500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35,945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35,949 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Post-combination compensation charge-shares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1,042 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Forfeiture, Retained Pre-UK IPO shares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(4,794)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Share-Based Accounting Charge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7,282 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Foreign currency translation gain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(11,497)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(11,497)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as of March 31, 2026</w:t>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28,928,777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28</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282,874</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(174,878)</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863</w:t>
            </w: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108,887</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Long term incentive program charges</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2,018 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2,018 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Offering cost reclassification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Related to acquisitions</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for settlement of other liability</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1,211 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for settlement of contingent consideration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1,727 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unvested legally outstanding shares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713,380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Vesting of restricted stock units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254,017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Forfeiture of unvested restricted stock awards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Post-combination compensation charge-shares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690 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(7,041)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(7,041)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Share-Based Accounting Charge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7,362 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7,362 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Foreign currency translation gain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(3,734)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(3,734)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as of June 30, 2026</w:t>
            </w:r>
          </w:p>
        </w:tc>
        <w:tc>
          <w:tcPr>
            <w:tcW w:w="91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29,895,289</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3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28</w:t>
            </w:r>
            <w:r>
              <w:rPr>
                <w:color w:val="000000"/>
              </w:rPr>
              <w:t>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295,734</w:t>
            </w:r>
            <w:r>
              <w:rPr>
                <w:color w:val="000000"/>
              </w:rPr>
              <w:t> </w:t>
            </w:r>
          </w:p>
        </w:tc>
        <w:tc>
          <w:tcPr>
            <w:tcW w:w="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(185,653)</w:t>
            </w:r>
          </w:p>
        </w:tc>
        <w:tc>
          <w:tcPr>
            <w:tcW w:w="1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10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834</w:t>
            </w:r>
            <w:r>
              <w:rPr>
                <w:color w:val="000000"/>
              </w:rPr>
              <w:t> </w:t>
            </w:r>
          </w:p>
        </w:tc>
        <w:tc>
          <w:tcPr>
            <w:tcW w:w="1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110,943</w:t>
            </w:r>
            <w:r>
              <w:rPr>
                <w:color w:val="000000"/>
              </w:rPr>
              <w:t> </w:t>
            </w:r>
          </w:p>
        </w:tc>
        <w:tc>
          <w:tcPr>
            <w:tcW w:w="1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the consolidated financial statements are an integral part of these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SHAREHOLDERS’ EQUITY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(Amounts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902"/>
        <w:gridCol w:w="423"/>
        <w:gridCol w:w="425"/>
        <w:gridCol w:w="304"/>
        <w:gridCol w:w="304"/>
        <w:gridCol w:w="308"/>
        <w:gridCol w:w="109"/>
        <w:gridCol w:w="109"/>
        <w:gridCol w:w="109"/>
        <w:gridCol w:w="208"/>
        <w:gridCol w:w="367"/>
        <w:gridCol w:w="116"/>
        <w:gridCol w:w="109"/>
        <w:gridCol w:w="109"/>
        <w:gridCol w:w="109"/>
        <w:gridCol w:w="223"/>
        <w:gridCol w:w="855"/>
        <w:gridCol w:w="124"/>
        <w:gridCol w:w="109"/>
        <w:gridCol w:w="109"/>
        <w:gridCol w:w="109"/>
        <w:gridCol w:w="207"/>
        <w:gridCol w:w="809"/>
        <w:gridCol w:w="115"/>
        <w:gridCol w:w="109"/>
        <w:gridCol w:w="109"/>
        <w:gridCol w:w="109"/>
        <w:gridCol w:w="355"/>
        <w:gridCol w:w="1036"/>
        <w:gridCol w:w="198"/>
        <w:gridCol w:w="109"/>
        <w:gridCol w:w="109"/>
        <w:gridCol w:w="109"/>
        <w:gridCol w:w="248"/>
        <w:gridCol w:w="838"/>
        <w:gridCol w:w="205"/>
      </w:tblGrid>
      <w:tr>
        <w:trPr/>
        <w:tc>
          <w:tcPr>
            <w:tcW w:w="90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Total Shareholders' Equity</w:t>
            </w:r>
          </w:p>
        </w:tc>
      </w:tr>
      <w:tr>
        <w:trPr/>
        <w:tc>
          <w:tcPr>
            <w:tcW w:w="1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as of December 31, 2024</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24,017,599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197,489</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(115,721)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(536)</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81,255</w:t>
            </w: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Long term incentive program charges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1,179 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Vesting of stock issued from acquisitions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75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Repayment of note receivable by related party</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(63,356)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Post-combination compensation charge-shares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605 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Share-Based Accounting Charge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7,444 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Foreign currency translation gain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721 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721 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(10,614)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(10,614)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as of March 31, 2025</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23,954,243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206,186</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(126,336)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185</w:t>
            </w: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80,058</w:t>
            </w: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Long term incentive program charges</w:t>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1,148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1,148 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unvested legally outstanding shares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719,547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Forfeiture of unvested restricted stock</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(5,765)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(5,765)</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Vesting of restricted stock awards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Vesting of restricted stock units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100,333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for acquisition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134,915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1,190 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Post-combination compensation charge-shares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893 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for settlement of other liability</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342 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Share-based accounting charge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7,394 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Foreign currency translation gain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1,520 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(5,730)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(5,730)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as of June 30, 2025</w:t>
            </w:r>
          </w:p>
        </w:tc>
        <w:tc>
          <w:tcPr>
            <w:tcW w:w="91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24,906,408</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3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23</w:t>
            </w:r>
            <w:r>
              <w:rPr>
                <w:color w:val="000000"/>
              </w:rPr>
              <w:t>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217,155</w:t>
            </w:r>
            <w:r>
              <w:rPr>
                <w:color w:val="000000"/>
              </w:rPr>
              <w:t> </w:t>
            </w:r>
          </w:p>
        </w:tc>
        <w:tc>
          <w:tcPr>
            <w:tcW w:w="1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(137,833)</w:t>
            </w:r>
          </w:p>
        </w:tc>
        <w:tc>
          <w:tcPr>
            <w:tcW w:w="1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10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1,705</w:t>
            </w:r>
            <w:r>
              <w:rPr>
                <w:color w:val="000000"/>
              </w:rPr>
              <w:t> </w:t>
            </w:r>
          </w:p>
        </w:tc>
        <w:tc>
          <w:tcPr>
            <w:tcW w:w="1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81,050</w:t>
            </w:r>
            <w:r>
              <w:rPr>
                <w:color w:val="000000"/>
              </w:rPr>
              <w:t> </w:t>
            </w:r>
          </w:p>
        </w:tc>
        <w:tc>
          <w:tcPr>
            <w:tcW w:w="2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the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(Unaudited) </w:t>
      </w:r>
    </w:p>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(Amounts in thousands)</w:t>
      </w:r>
    </w:p>
    <w:tbl>
      <w:tblPr>
        <w:tblW w:w="7929" w:type="dxa"/>
        <w:jc w:val="center"/>
        <w:tblInd w:w="0" w:type="dxa"/>
        <w:tblLayout w:type="fixed"/>
        <w:tblCellMar>
          <w:top w:w="28" w:type="dxa"/>
          <w:left w:w="28" w:type="dxa"/>
          <w:bottom w:w="28" w:type="dxa"/>
          <w:right w:w="28" w:type="dxa"/>
        </w:tblCellMar>
      </w:tblPr>
      <w:tblGrid>
        <w:gridCol w:w="1991"/>
        <w:gridCol w:w="1750"/>
        <w:gridCol w:w="1764"/>
        <w:gridCol w:w="196"/>
        <w:gridCol w:w="721"/>
        <w:gridCol w:w="109"/>
        <w:gridCol w:w="109"/>
        <w:gridCol w:w="109"/>
        <w:gridCol w:w="109"/>
        <w:gridCol w:w="196"/>
        <w:gridCol w:w="721"/>
        <w:gridCol w:w="154"/>
      </w:tblGrid>
      <w:tr>
        <w:trPr/>
        <w:tc>
          <w:tcPr>
            <w:tcW w:w="1991"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(15,230)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expense - intangibles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3,154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right of use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2,490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prepaid post-combination compensation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2,395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other liability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2,913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discount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Provision for deferred income taxes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accounting charge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14,644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2,033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Post-combination compensation charge-shares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contingent consideration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7,195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Gain on bargain purchase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Expected credit losses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and unbilled receivables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(10,267)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post-combination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Income taxes payable and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4,687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2,939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Contingent consideration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Transactions with members and related parties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Used in Operating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(9,050)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received for notes receivable - related parties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acquisitions, net of cash acquired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Net Cash Used in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initial public offering, net of underwriting fees of $3.0 million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42,866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notes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debt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deferred equity offering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Principal payment of note payable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Payment of contingent considerations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Dividends paid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Net Cash Provided by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26,459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Effect of foreign exchange rate changes on cash and cash equivalents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Change in Cash and Cash Equivalents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16,487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Cash and Cash Equivalents as of Beginning of Period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20,436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the End of Period</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36,923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9,792 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the consolidated financial statements are an integral part of these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(Amounts in thousands)</w:t>
      </w:r>
    </w:p>
    <w:tbl>
      <w:tblPr>
        <w:tblW w:w="7765" w:type="dxa"/>
        <w:jc w:val="left"/>
        <w:tblInd w:w="0" w:type="dxa"/>
        <w:tblLayout w:type="fixed"/>
        <w:tblCellMar>
          <w:top w:w="28" w:type="dxa"/>
          <w:left w:w="28" w:type="dxa"/>
          <w:bottom w:w="28" w:type="dxa"/>
          <w:right w:w="28" w:type="dxa"/>
        </w:tblCellMar>
      </w:tblPr>
      <w:tblGrid>
        <w:gridCol w:w="2012"/>
        <w:gridCol w:w="1764"/>
        <w:gridCol w:w="1773"/>
        <w:gridCol w:w="206"/>
        <w:gridCol w:w="601"/>
        <w:gridCol w:w="114"/>
        <w:gridCol w:w="114"/>
        <w:gridCol w:w="114"/>
        <w:gridCol w:w="114"/>
        <w:gridCol w:w="206"/>
        <w:gridCol w:w="585"/>
        <w:gridCol w:w="162"/>
      </w:tblGrid>
      <w:tr>
        <w:trPr/>
        <w:tc>
          <w:tcPr>
            <w:tcW w:w="2012"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1,454</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3,018</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received for repayment of note receivable with Alpine Group</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Right of use assets obtained with lease liabilities</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11,270</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issued for acquisitions</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for acquisitions</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issued for settlement of other liability</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1,211</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issued for settlement of contingent consideration</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1,727</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the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20"/>
        <w:jc w:val="left"/>
        <w:rPr/>
      </w:pPr>
      <w:hyperlink w:anchor="ia205c5d90abd40f8965784bd2069137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ORGANIZATION AND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Basis of Presentation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by Public Policy Holding Company, Inc. ("PPHC", "the Company", "we", "us", and "our") in accordance with accounting principles generally accepted in the United States of America ("GAAP") for interim financial information and Article 10 of Regulation S-X of the Securities and Exchange Commission (the "SEC"). Accordingly, certain information and footnote disclosures have been condensed or omitted. All intercompany balances and transactions have been eliminated.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our opinion, the accompanying unaudited condensed consolidated financial statements reflect all adjustments, consisting of normal recurring accruals, considered necessary for a fair presentation, in all material respects, of the information contained herein. These unaudited condensed consolidated financial statements should be read in conjunction with our Annual Report on Form 10-K for the year ended December 31, 2025 ("2025 Form 10-K"). Results for the interim periods are not necessarily indicative of results that may be expected for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2026 U.S. Initial Public Offering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26, 2026, we completed our U.S. initial public offering (“2026 U.S. IPO”) of 4,150,000 shares of common stock. The offering comprised 3,400,000 newly issued shares of common stock sold by the Company and 750,000 shares of existing common stock sold by certain shareholders, at a price of $12.25 per share.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March 2, 2026, the Company announced the issuance of 342,500 additional shares of common stock, pursuant to the partial exercise of the over-allotment option granted to the underwriters in connection with the Company's 2026 U.S. IPO and admission to the Nasdaq Global Market.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received net proceeds from the 2026 U.S. IPO of $35.8 million after deducting underwriting discounts and offering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accordance with GAAP requires the Company’s management to make estimates and assumptions relating to the reported amounts of assets and liabilities, the disclosure of contingent assets and liabilities at the date of the consolidated financial statements, and the reported amounts of revenue and expenses during the reporting periods. Significant items subject to such estimates and assumptions include, but are not limited to, the allowance for credit losses, useful lives of intangible assets, recoverability of the carrying amounts of intangible assets, share-based compensation, business acquisitions, valuation of contingent considerations, post-combination liabilities and income tax provisions. These estimates are often based on complex judgments and assumptions that management believes to be reasonable but are inherently uncertain and unpredictable. Actual results could differ from these estimates.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otherwise noted, dollars in tables are in thousands, except per share amounts.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Certain monetary amounts, percentages, and other figures included elsewhere in this Form 10-Q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Significant Accounting Policies </w:t>
      </w:r>
    </w:p>
    <w:p>
      <w:pPr>
        <w:pStyle w:val="TextBody"/>
        <w:bidi w:val="0"/>
        <w:spacing w:lineRule="auto" w:line="288" w:before="0" w:after="180"/>
        <w:jc w:val="left"/>
        <w:rPr/>
      </w:pPr>
      <w:r>
        <w:rPr>
          <w:rFonts w:ascii="Times New Roman;serif" w:hAnsi="Times New Roman;serif"/>
          <w:b w:val="false"/>
          <w:color w:val="000000"/>
          <w:sz w:val="20"/>
        </w:rPr>
        <w:t xml:space="preserve">There have been no material changes to the significant accounting policies discussed in </w:t>
      </w:r>
      <w:r>
        <w:rPr>
          <w:rFonts w:ascii="Times New Roman;serif" w:hAnsi="Times New Roman;serif"/>
          <w:b w:val="false"/>
          <w:i/>
          <w:color w:val="000000"/>
          <w:sz w:val="20"/>
        </w:rPr>
        <w:t>Note 1 - Organization And Significant Accounting Policies</w:t>
      </w:r>
      <w:r>
        <w:rPr>
          <w:color w:val="000000"/>
        </w:rPr>
        <w:t xml:space="preserve"> </w:t>
      </w:r>
      <w:r>
        <w:rPr>
          <w:rFonts w:ascii="Times New Roman;serif" w:hAnsi="Times New Roman;serif"/>
          <w:b w:val="false"/>
          <w:color w:val="000000"/>
          <w:sz w:val="20"/>
        </w:rPr>
        <w:t>included in Part II, Item 8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Recently Adopted Accounting Pronouncements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20"/>
        <w:jc w:val="left"/>
        <w:rPr/>
      </w:pPr>
      <w:hyperlink w:anchor="ia205c5d90abd40f8965784bd2069137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p>
      <w:pPr>
        <w:pStyle w:val="TextBody"/>
        <w:bidi w:val="0"/>
        <w:spacing w:lineRule="auto" w:line="288" w:before="0" w:after="180"/>
        <w:jc w:val="left"/>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color w:val="000000"/>
        </w:rPr>
        <w:t xml:space="preserve"> </w:t>
      </w:r>
      <w:r>
        <w:rPr>
          <w:rFonts w:ascii="Times New Roman;serif" w:hAnsi="Times New Roman;serif"/>
          <w:b w:val="false"/>
          <w:color w:val="000000"/>
          <w:sz w:val="20"/>
        </w:rPr>
        <w:t xml:space="preserve">which expands annual disclosures in an entity’s income tax rate reconciliation table and requires annual disclosures regarding cash taxes paid both in the United States (federal, state and local) and foreign jurisdictions. The amendments in this ASU are effective for annual periods beginning after December 15, 2024, although early adoption is permitted. The Company has adopted ASU 2023-09 for the year ended December 31, 2025, and has applied the new disclosure requirements prospectively to the current annual period. See </w:t>
      </w:r>
      <w:r>
        <w:rPr>
          <w:rFonts w:ascii="Times New Roman;serif" w:hAnsi="Times New Roman;serif"/>
          <w:b w:val="false"/>
          <w:i/>
          <w:color w:val="000000"/>
          <w:sz w:val="20"/>
        </w:rPr>
        <w:t>Note 8. Income Taxes,</w:t>
      </w:r>
      <w:r>
        <w:rPr>
          <w:color w:val="000000"/>
        </w:rPr>
        <w:t xml:space="preserve"> </w:t>
      </w:r>
      <w:r>
        <w:rPr>
          <w:rFonts w:ascii="Times New Roman;serif" w:hAnsi="Times New Roman;serif"/>
          <w:b w:val="false"/>
          <w:color w:val="000000"/>
          <w:sz w:val="20"/>
        </w:rPr>
        <w:t>in the accompanying notes to the consolidated financial statements for further details.</w:t>
      </w:r>
    </w:p>
    <w:p>
      <w:pPr>
        <w:pStyle w:val="TextBody"/>
        <w:bidi w:val="0"/>
        <w:spacing w:lineRule="auto" w:line="288" w:before="0" w:after="180"/>
        <w:jc w:val="left"/>
        <w:rPr/>
      </w:pPr>
      <w:r>
        <w:rPr>
          <w:rFonts w:ascii="Times New Roman;serif" w:hAnsi="Times New Roman;serif"/>
          <w:b w:val="false"/>
          <w:color w:val="000000"/>
          <w:sz w:val="20"/>
        </w:rPr>
        <w:t xml:space="preserve">In June 2024, the FASB issued ASU 2024-01, </w:t>
      </w:r>
      <w:r>
        <w:rPr>
          <w:rFonts w:ascii="Times New Roman;serif" w:hAnsi="Times New Roman;serif"/>
          <w:b w:val="false"/>
          <w:i/>
          <w:color w:val="000000"/>
          <w:sz w:val="20"/>
        </w:rPr>
        <w:t>Compensation - Stock Compensation (Topic 718),</w:t>
      </w:r>
      <w:r>
        <w:rPr>
          <w:color w:val="000000"/>
        </w:rPr>
        <w:t xml:space="preserve"> </w:t>
      </w:r>
      <w:r>
        <w:rPr>
          <w:rFonts w:ascii="Times New Roman;serif" w:hAnsi="Times New Roman;serif"/>
          <w:b w:val="false"/>
          <w:color w:val="000000"/>
          <w:sz w:val="20"/>
        </w:rPr>
        <w:t>which provides guidance on the scope application of profits interest and similar awards. This guidance is effective for public business entities for annual reporting periods beginning after December 15, 2024, and interim reporting periods beginning after December 15, 2025. The Company has determined that there is no impact of this guidance on its consolidated financial statement disclosures, as the Company's stock compensation does not allow for profits interest and similar awards.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 Not Yet Adopted</w:t>
      </w:r>
    </w:p>
    <w:p>
      <w:pPr>
        <w:pStyle w:val="TextBody"/>
        <w:bidi w:val="0"/>
        <w:spacing w:lineRule="auto" w:line="288" w:before="0" w:after="18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20"/>
        </w:rPr>
        <w:t>This guidance requires public companies to disclose, in the notes to financial statements, specified information about certain costs and expenses at each interim and annual reporting period. This guidance is effective for public business entities for annual reporting periods beginning after December 15, 2026, and interim reporting periods beginning after December 15, 2027. The Company expects to adopt this guidance in its fiscal year beginning January 1, 2027, and is evaluating the potential impact of this guidance on its consolidated financial statement disclosures.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evaluating the potential impact of this guidance on its consolidated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left"/>
        <w:rPr>
          <w:rFonts w:ascii="Times New Roman;serif" w:hAnsi="Times New Roman;serif"/>
          <w:b/>
          <w:color w:val="000000"/>
          <w:sz w:val="20"/>
        </w:rPr>
      </w:pPr>
      <w:r>
        <w:rPr>
          <w:rFonts w:ascii="Times New Roman;serif" w:hAnsi="Times New Roman;serif"/>
          <w:b/>
          <w:color w:val="000000"/>
          <w:sz w:val="20"/>
        </w:rPr>
        <w:t>NOTE 2. REVENUE</w:t>
      </w:r>
    </w:p>
    <w:p>
      <w:pPr>
        <w:pStyle w:val="TextBody"/>
        <w:bidi w:val="0"/>
        <w:spacing w:lineRule="auto" w:line="288" w:before="0" w:after="180"/>
        <w:jc w:val="left"/>
        <w:rPr/>
      </w:pPr>
      <w:r>
        <w:rPr>
          <w:rFonts w:ascii="Times New Roman;serif" w:hAnsi="Times New Roman;serif"/>
          <w:b w:val="false"/>
          <w:i/>
          <w:color w:val="000000"/>
          <w:sz w:val="20"/>
        </w:rPr>
        <w:t>Revenue recognition:</w:t>
      </w:r>
      <w:r>
        <w:rPr>
          <w:color w:val="000000"/>
        </w:rPr>
        <w:t xml:space="preserve"> </w:t>
      </w:r>
      <w:r>
        <w:rPr>
          <w:rFonts w:ascii="Times New Roman;serif" w:hAnsi="Times New Roman;serif"/>
          <w:b w:val="false"/>
          <w:color w:val="000000"/>
          <w:sz w:val="20"/>
        </w:rPr>
        <w:t xml:space="preserve">The Company generates the majority of its revenue by providing consulting services through fixed-fee arrangements related to Government Relations Consulting, Corporate Communications &amp; Public Affairs Consulting and Compliance and Insights Services. </w:t>
      </w:r>
    </w:p>
    <w:p>
      <w:pPr>
        <w:pStyle w:val="TextBody"/>
        <w:bidi w:val="0"/>
        <w:spacing w:lineRule="auto" w:line="288" w:before="0" w:after="180"/>
        <w:jc w:val="left"/>
        <w:rPr/>
      </w:pPr>
      <w:r>
        <w:rPr>
          <w:rFonts w:ascii="Times New Roman;serif" w:hAnsi="Times New Roman;serif"/>
          <w:b w:val="false"/>
          <w:i/>
          <w:color w:val="000000"/>
          <w:sz w:val="20"/>
        </w:rPr>
        <w:t>Types of Contract Arrangements:</w:t>
      </w:r>
      <w:r>
        <w:rPr>
          <w:color w:val="000000"/>
        </w:rPr>
        <w:t xml:space="preserve"> </w:t>
      </w:r>
      <w:r>
        <w:rPr>
          <w:rFonts w:ascii="Times New Roman;serif" w:hAnsi="Times New Roman;serif"/>
          <w:b w:val="false"/>
          <w:color w:val="000000"/>
          <w:sz w:val="20"/>
        </w:rPr>
        <w:t>Most of the consulting service contracts are based on one of the following types of contract arrangements: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1) Fixed-fee arrangements (“Retainer Revenue” and “Subscription Services Revenue”): these require the client to pay a fixed fee in exchange for a predetermined set of professional services. Retainer contracts generally comprise of a single stand-ready performance obligation for consulting services. The Company recognizes retainer revenue over time by measuring the progress toward complete satisfaction of the performance obligation. Subscription services generally comprise of a single performance obligation recognized over time with a straight-line pattern.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Company’s standard practice for retainer revenue is to enter into agreements with clients that stipulate a fixed monthly fee, payable at the beginning of each month, for the services to be rendered. These agreements may also include provisions for the reimbursement of pre-approved, reasonable expenses incurred in fulfilling the performance obligations. Member companies typically invoice clients in advance, and the amounts billed are initially recorded as deferred revenue. Revenue is then recognized from deferred revenue as performance obligations are achieved.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significant portion of the Company’s contracts with customers have termination clauses that give the customer the right to terminate the contract without cause with one month's notice without any substantial penalty. As such, the Company believes such contracts should be treated as a month-to-month contract as this reflects the non-cancelable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20"/>
        <w:jc w:val="left"/>
        <w:rPr/>
      </w:pPr>
      <w:hyperlink w:anchor="ia205c5d90abd40f8965784bd2069137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of performance. The parties do not have enforceable rights and obligations beyond the month (or months) of services already performed. The Company's contracts generally do not contain a material right.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 Project Revenue includes additional services such as 1) advertisement placement and management, 2) video production, 3) website development and 4) research services, in which third-party companies may be engaged to achieve specific business objectives. These services are either in a separate contract or within the fixed-fee consulting contract, in which the Company usually receives a markup on the cost incurred. Generally, these contracts are less than 12 months in length. The Company recognizes revenue earned to date in an amount that is probable and not likely to reverse. The Company utilizes an output method to measure progress toward complete satisfaction of the performance obligation, recognizing revenue based on the services delivered to the customer to date as a proportion of the total services promised in the contract. This approach reflects the transfer of control to the customer, as the customer receives and consumes the benefits of each service as it is performed. Any out-of-pocket administrative expenses incurred are billed at cost.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Revenue is recognized when control of services provided is transferred to customers and in an amount that reflects the consideration the Company expects to be entitled to in exchange for those services, using the following steps: 1) identify the contract, 2) identify the performance obligations, 3) determine the transaction price, 4) allocate the transaction price to the performance obligations in the contract, and 5) recognize revenue as or when the Company satisfies the performance obligations.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determining the method and amount of revenue to recognize, the Company must make judgments and estimates. Specifically, complex arrangements with nonstandard terms and conditions may require management's judgment in interpreting the contract to determine the appropriate accounting, including whether the promised services specified in an arrangement are distinct performance obligations and should be accounted for separately, and how to allocate the transaction price, including any variable consideration, to the separate performance obligations. When a contract contains multiple performance obligations, the Company allocates the transaction price to each performance obligation based on its estimate of the stand-alone selling price. Other judgments include determining whether performance obligations are satisfied over time or at a point in time, and the selection of the method to measure progress towards completion.</w:t>
      </w:r>
    </w:p>
    <w:p>
      <w:pPr>
        <w:pStyle w:val="TextBody"/>
        <w:bidi w:val="0"/>
        <w:spacing w:lineRule="auto" w:line="288" w:before="0" w:after="180"/>
        <w:jc w:val="left"/>
        <w:rPr/>
      </w:pPr>
      <w:r>
        <w:rPr>
          <w:rFonts w:ascii="Times New Roman;serif" w:hAnsi="Times New Roman;serif"/>
          <w:b w:val="false"/>
          <w:color w:val="000000"/>
          <w:sz w:val="20"/>
        </w:rPr>
        <w:t xml:space="preserve">The Company has considered the guidance of combining contracts in accordance with ASC 606-10-25-9, </w:t>
      </w:r>
      <w:r>
        <w:rPr>
          <w:rFonts w:ascii="Times New Roman;serif" w:hAnsi="Times New Roman;serif"/>
          <w:b w:val="false"/>
          <w:i/>
          <w:color w:val="000000"/>
          <w:sz w:val="20"/>
        </w:rPr>
        <w:t xml:space="preserve">Combining Contracts. </w:t>
      </w:r>
      <w:r>
        <w:rPr>
          <w:rFonts w:ascii="Times New Roman;serif" w:hAnsi="Times New Roman;serif"/>
          <w:b w:val="false"/>
          <w:color w:val="000000"/>
          <w:sz w:val="20"/>
        </w:rPr>
        <w:t xml:space="preserve">The Company has noted that its customers occasionally execute multiple orders for services, add-ons and professional services within a short period of time. The Company evaluates multiple orders to determine if the services across multiple orders relate directly to the same retainer service or project and will combine contracts if deemed to be related, as they are packaged within a single commercial objective. For any contracts that meet one or more of the requirements of ASC 606-10-25-9, the Company will account for the contracts as a single contract. The majority of contracts entered into with customers are entered into with multiple commercial objectives, and the consideration of one contract is determined independently from the price or performance of other contracts.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services provided by the Company include the utilization of a third party in the delivery of those services. These services are primarily related to the production of an advertising campaign or media buying services. The Company has determined that it acts as an agent and is solely arranging for the third parties to provide services to the customer. Specifically, the Company does not control the specified services before transferring those services to the customer, is not primarily responsible for the performance of the third-party services, nor can the Company redirect those services to fulfill any other contracts. The Company does not have discretion in establishing the third-party pricing in its contracts with customers. For these performance obligations for which the Company acts as an agent, the Company records revenue as the net amount of the gross billings less amounts remitted to the third party.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disaggregated revenue by revenue type:</w:t>
      </w:r>
    </w:p>
    <w:tbl>
      <w:tblPr>
        <w:tblW w:w="9831" w:type="dxa"/>
        <w:jc w:val="left"/>
        <w:tblInd w:w="0" w:type="dxa"/>
        <w:tblLayout w:type="fixed"/>
        <w:tblCellMar>
          <w:top w:w="28" w:type="dxa"/>
          <w:left w:w="28" w:type="dxa"/>
          <w:bottom w:w="28" w:type="dxa"/>
          <w:right w:w="28" w:type="dxa"/>
        </w:tblCellMar>
      </w:tblPr>
      <w:tblGrid>
        <w:gridCol w:w="1710"/>
        <w:gridCol w:w="1503"/>
        <w:gridCol w:w="1512"/>
        <w:gridCol w:w="207"/>
        <w:gridCol w:w="698"/>
        <w:gridCol w:w="115"/>
        <w:gridCol w:w="115"/>
        <w:gridCol w:w="115"/>
        <w:gridCol w:w="115"/>
        <w:gridCol w:w="207"/>
        <w:gridCol w:w="698"/>
        <w:gridCol w:w="115"/>
        <w:gridCol w:w="109"/>
        <w:gridCol w:w="109"/>
        <w:gridCol w:w="109"/>
        <w:gridCol w:w="196"/>
        <w:gridCol w:w="751"/>
        <w:gridCol w:w="109"/>
        <w:gridCol w:w="109"/>
        <w:gridCol w:w="109"/>
        <w:gridCol w:w="109"/>
        <w:gridCol w:w="196"/>
        <w:gridCol w:w="661"/>
        <w:gridCol w:w="154"/>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Relations Consulting revenue</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30,369 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27,301</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58,727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Communications &amp; Public Affairs Consulting revenue</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18,144</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36,459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Compliance and Insights Services revenue</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3,143</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7,080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revenue</w:t>
            </w:r>
          </w:p>
        </w:tc>
        <w:tc>
          <w:tcPr>
            <w:tcW w:w="2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52,143</w:t>
            </w:r>
            <w:r>
              <w:rPr>
                <w:color w:val="000000"/>
              </w:rPr>
              <w:t> </w:t>
            </w:r>
          </w:p>
        </w:tc>
        <w:tc>
          <w:tcPr>
            <w:tcW w:w="1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48,588</w:t>
            </w:r>
            <w:r>
              <w:rPr>
                <w:color w:val="000000"/>
              </w:rPr>
              <w:t> </w:t>
            </w:r>
          </w:p>
        </w:tc>
        <w:tc>
          <w:tcPr>
            <w:tcW w:w="1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102,266</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87,899</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20"/>
        <w:jc w:val="left"/>
        <w:rPr/>
      </w:pPr>
      <w:hyperlink w:anchor="ia205c5d90abd40f8965784bd2069137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Revenue by geographic region:</w:t>
      </w:r>
    </w:p>
    <w:tbl>
      <w:tblPr>
        <w:tblW w:w="7284" w:type="dxa"/>
        <w:jc w:val="left"/>
        <w:tblInd w:w="0" w:type="dxa"/>
        <w:tblLayout w:type="fixed"/>
        <w:tblCellMar>
          <w:top w:w="28" w:type="dxa"/>
          <w:left w:w="28" w:type="dxa"/>
          <w:bottom w:w="28" w:type="dxa"/>
          <w:right w:w="28" w:type="dxa"/>
        </w:tblCellMar>
      </w:tblPr>
      <w:tblGrid>
        <w:gridCol w:w="904"/>
        <w:gridCol w:w="796"/>
        <w:gridCol w:w="805"/>
        <w:gridCol w:w="207"/>
        <w:gridCol w:w="698"/>
        <w:gridCol w:w="115"/>
        <w:gridCol w:w="115"/>
        <w:gridCol w:w="115"/>
        <w:gridCol w:w="115"/>
        <w:gridCol w:w="207"/>
        <w:gridCol w:w="698"/>
        <w:gridCol w:w="115"/>
        <w:gridCol w:w="196"/>
        <w:gridCol w:w="751"/>
        <w:gridCol w:w="109"/>
        <w:gridCol w:w="109"/>
        <w:gridCol w:w="109"/>
        <w:gridCol w:w="109"/>
        <w:gridCol w:w="196"/>
        <w:gridCol w:w="661"/>
        <w:gridCol w:w="154"/>
      </w:tblGrid>
      <w:tr>
        <w:trPr/>
        <w:tc>
          <w:tcPr>
            <w:tcW w:w="90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48,139</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46,298 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95,492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4,003</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Revenue by geographic market</w:t>
            </w:r>
          </w:p>
        </w:tc>
        <w:tc>
          <w:tcPr>
            <w:tcW w:w="2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52,143</w:t>
            </w:r>
            <w:r>
              <w:rPr>
                <w:color w:val="000000"/>
              </w:rPr>
              <w:t> </w:t>
            </w:r>
          </w:p>
        </w:tc>
        <w:tc>
          <w:tcPr>
            <w:tcW w:w="1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48,588</w:t>
            </w:r>
            <w:r>
              <w:rPr>
                <w:color w:val="000000"/>
              </w:rPr>
              <w:t> </w:t>
            </w:r>
          </w:p>
        </w:tc>
        <w:tc>
          <w:tcPr>
            <w:tcW w:w="1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102,266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87,899</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3. BASIC AND DILUTED EARNINGS (LOSS) PER SHARE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presents both basic and diluted earnings per share on the face of the consolidated statements of operations and other comprehensive loss. Basic earnings (loss) per share is computed by dividing net income (loss) available to common shareholders by the weighted average number of outstanding shares during the period. Diluted earnings (loss) per share gives effect to all dilutive potential common shares outstanding during the period. Due to their anti-dilutive effect, the calculation of diluted net loss per share for the three and six months ended June 30, 2026 and the year ended December 31, 2025, does not include the common stock equivalent shares and nonvested shares. The Company’s weighted average shares utilized for its calculation of earnings (loss) per share included the common shares outstanding and 181,822 RSUs that were fully vested on June 30, 2026 as there were no remaining contingencies for these shares to be issued as of June 30, 2026. There were no such RSUs as of June 30,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the number of shares outstanding and potentially dilutive stock options and Restricted Stock Units ("RSU's") as of June 30, 2026, and December 31, 2025, respectively:</w:t>
      </w:r>
    </w:p>
    <w:tbl>
      <w:tblPr>
        <w:tblW w:w="6176" w:type="dxa"/>
        <w:jc w:val="left"/>
        <w:tblInd w:w="0" w:type="dxa"/>
        <w:tblLayout w:type="fixed"/>
        <w:tblCellMar>
          <w:top w:w="28" w:type="dxa"/>
          <w:left w:w="28" w:type="dxa"/>
          <w:bottom w:w="28" w:type="dxa"/>
          <w:right w:w="28" w:type="dxa"/>
        </w:tblCellMar>
      </w:tblPr>
      <w:tblGrid>
        <w:gridCol w:w="1122"/>
        <w:gridCol w:w="988"/>
        <w:gridCol w:w="995"/>
        <w:gridCol w:w="384"/>
        <w:gridCol w:w="384"/>
        <w:gridCol w:w="386"/>
        <w:gridCol w:w="109"/>
        <w:gridCol w:w="109"/>
        <w:gridCol w:w="109"/>
        <w:gridCol w:w="465"/>
        <w:gridCol w:w="465"/>
        <w:gridCol w:w="660"/>
      </w:tblGrid>
      <w:tr>
        <w:trPr/>
        <w:tc>
          <w:tcPr>
            <w:tcW w:w="112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outstanding</w:t>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25,269,937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20,821,959</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shares outstanding</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4,625,352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4,352,533</w:t>
            </w:r>
          </w:p>
        </w:tc>
      </w:tr>
      <w:tr>
        <w:trPr/>
        <w:tc>
          <w:tcPr>
            <w:tcW w:w="3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Legally outstanding shares</w:t>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29,895,289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25,174,492</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Stock options and RSUs outstanding</w:t>
            </w:r>
            <w:r>
              <w:rPr>
                <w:color w:val="000000"/>
              </w:rPr>
              <w:t xml:space="preserve"> </w:t>
            </w:r>
            <w:r>
              <w:rPr>
                <w:rFonts w:ascii="Times New Roman;serif" w:hAnsi="Times New Roman;serif"/>
                <w:b w:val="false"/>
                <w:color w:val="000000"/>
                <w:sz w:val="12"/>
              </w:rPr>
              <w:t>(1)(2)</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2,123,025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1,693,734</w:t>
            </w:r>
          </w:p>
        </w:tc>
      </w:tr>
      <w:tr>
        <w:trPr/>
        <w:tc>
          <w:tcPr>
            <w:tcW w:w="310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fully diluted shares</w:t>
            </w:r>
          </w:p>
        </w:tc>
        <w:tc>
          <w:tcPr>
            <w:tcW w:w="115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32,018,314</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26,868,226</w:t>
            </w:r>
          </w:p>
        </w:tc>
      </w:tr>
    </w:tbl>
    <w:p>
      <w:pPr>
        <w:pStyle w:val="TextBody"/>
        <w:bidi w:val="0"/>
        <w:spacing w:lineRule="auto" w:line="288" w:before="0" w:after="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holders of Restricted Stock Units and Stock Options are not entitled to dividends or to vote</w:t>
      </w:r>
    </w:p>
    <w:p>
      <w:pPr>
        <w:pStyle w:val="TextBody"/>
        <w:bidi w:val="0"/>
        <w:spacing w:lineRule="auto" w:line="288" w:before="0" w:after="18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Includes 181,822 RSUs that were fully vested on June 30, 2026 as there were no remaining contingencies for these shares to be issued</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the weighted average shares outstanding and potentially dilutive stock options and RSUs for the three and six months ended June 30, 2026 and 2025, respectively:</w:t>
      </w:r>
    </w:p>
    <w:tbl>
      <w:tblPr>
        <w:tblW w:w="10205" w:type="dxa"/>
        <w:jc w:val="left"/>
        <w:tblInd w:w="0" w:type="dxa"/>
        <w:tblLayout w:type="fixed"/>
        <w:tblCellMar>
          <w:top w:w="28" w:type="dxa"/>
          <w:left w:w="28" w:type="dxa"/>
          <w:bottom w:w="28" w:type="dxa"/>
          <w:right w:w="28" w:type="dxa"/>
        </w:tblCellMar>
      </w:tblPr>
      <w:tblGrid>
        <w:gridCol w:w="1548"/>
        <w:gridCol w:w="1344"/>
        <w:gridCol w:w="1356"/>
        <w:gridCol w:w="385"/>
        <w:gridCol w:w="385"/>
        <w:gridCol w:w="369"/>
        <w:gridCol w:w="182"/>
        <w:gridCol w:w="182"/>
        <w:gridCol w:w="182"/>
        <w:gridCol w:w="385"/>
        <w:gridCol w:w="385"/>
        <w:gridCol w:w="369"/>
        <w:gridCol w:w="109"/>
        <w:gridCol w:w="109"/>
        <w:gridCol w:w="109"/>
        <w:gridCol w:w="385"/>
        <w:gridCol w:w="384"/>
        <w:gridCol w:w="370"/>
        <w:gridCol w:w="158"/>
        <w:gridCol w:w="158"/>
        <w:gridCol w:w="158"/>
        <w:gridCol w:w="351"/>
        <w:gridCol w:w="351"/>
        <w:gridCol w:w="491"/>
      </w:tblGrid>
      <w:tr>
        <w:trPr/>
        <w:tc>
          <w:tcPr>
            <w:tcW w:w="154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2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shares, weighted average</w:t>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24,951,184</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17,183,129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24,130,718</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17,044,164</w:t>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Nonvested shares, weighted average</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4,482,734</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7,404,992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4,396,374</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7,240,670</w:t>
            </w:r>
          </w:p>
        </w:tc>
      </w:tr>
      <w:tr>
        <w:trPr/>
        <w:tc>
          <w:tcPr>
            <w:tcW w:w="42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Legally outstanding shares, weighted average</w:t>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29,433,918</w:t>
            </w:r>
          </w:p>
        </w:tc>
        <w:tc>
          <w:tcPr>
            <w:tcW w:w="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24,588,121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28,527,092</w:t>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24,284,834</w:t>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Stock options and RSUs outstanding, weighted average</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1,802,829</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1,584,707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1,743,974</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1,553,948</w:t>
            </w:r>
          </w:p>
        </w:tc>
      </w:tr>
      <w:tr>
        <w:trPr/>
        <w:tc>
          <w:tcPr>
            <w:tcW w:w="424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securities on a fully diluted basis, weighted average</w:t>
            </w:r>
          </w:p>
        </w:tc>
        <w:tc>
          <w:tcPr>
            <w:tcW w:w="11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31,236,747</w:t>
            </w:r>
          </w:p>
        </w:tc>
        <w:tc>
          <w:tcPr>
            <w:tcW w:w="54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26,172,828</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30,271,066</w:t>
            </w:r>
          </w:p>
        </w:tc>
        <w:tc>
          <w:tcPr>
            <w:tcW w:w="474"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25,838,782</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computation of basic and diluted loss per share for the three and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20"/>
        <w:jc w:val="left"/>
        <w:rPr/>
      </w:pPr>
      <w:hyperlink w:anchor="ia205c5d90abd40f8965784bd2069137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tbl>
      <w:tblPr>
        <w:tblW w:w="10205" w:type="dxa"/>
        <w:jc w:val="left"/>
        <w:tblInd w:w="0" w:type="dxa"/>
        <w:tblLayout w:type="fixed"/>
        <w:tblCellMar>
          <w:top w:w="28" w:type="dxa"/>
          <w:left w:w="28" w:type="dxa"/>
          <w:bottom w:w="28" w:type="dxa"/>
          <w:right w:w="28" w:type="dxa"/>
        </w:tblCellMar>
      </w:tblPr>
      <w:tblGrid>
        <w:gridCol w:w="1690"/>
        <w:gridCol w:w="1474"/>
        <w:gridCol w:w="1479"/>
        <w:gridCol w:w="241"/>
        <w:gridCol w:w="758"/>
        <w:gridCol w:w="131"/>
        <w:gridCol w:w="109"/>
        <w:gridCol w:w="109"/>
        <w:gridCol w:w="109"/>
        <w:gridCol w:w="241"/>
        <w:gridCol w:w="758"/>
        <w:gridCol w:w="131"/>
        <w:gridCol w:w="109"/>
        <w:gridCol w:w="109"/>
        <w:gridCol w:w="109"/>
        <w:gridCol w:w="217"/>
        <w:gridCol w:w="797"/>
        <w:gridCol w:w="120"/>
        <w:gridCol w:w="109"/>
        <w:gridCol w:w="109"/>
        <w:gridCol w:w="109"/>
        <w:gridCol w:w="216"/>
        <w:gridCol w:w="793"/>
        <w:gridCol w:w="178"/>
      </w:tblGrid>
      <w:tr>
        <w:trPr/>
        <w:tc>
          <w:tcPr>
            <w:tcW w:w="1690"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(3,734)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(5,730)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(15,230)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(16,346)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unvested common stock dividends under the two - class method</w:t>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(1,748)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(1,748)</w:t>
            </w:r>
          </w:p>
        </w:tc>
      </w:tr>
      <w:tr>
        <w:trPr/>
        <w:tc>
          <w:tcPr>
            <w:tcW w:w="46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shareholders</w:t>
            </w:r>
          </w:p>
        </w:tc>
        <w:tc>
          <w:tcPr>
            <w:tcW w:w="11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(4,816)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(7,478)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(16,312)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(18,094)</w:t>
            </w:r>
          </w:p>
        </w:tc>
      </w:tr>
      <w:tr>
        <w:trPr/>
        <w:tc>
          <w:tcPr>
            <w:tcW w:w="4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basic and diluted shares outstanding</w:t>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24,951,184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17,183,129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24,130,718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17,044,164</w:t>
            </w:r>
          </w:p>
        </w:tc>
      </w:tr>
      <w:tr>
        <w:trPr/>
        <w:tc>
          <w:tcPr>
            <w:tcW w:w="464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Basic and diluted loss per share</w:t>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(0.19)</w:t>
            </w:r>
          </w:p>
        </w:tc>
        <w:tc>
          <w:tcPr>
            <w:tcW w:w="1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(0.44)</w:t>
            </w:r>
          </w:p>
        </w:tc>
        <w:tc>
          <w:tcPr>
            <w:tcW w:w="1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(0.68)</w:t>
            </w:r>
          </w:p>
        </w:tc>
        <w:tc>
          <w:tcPr>
            <w:tcW w:w="1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(1.06)</w:t>
            </w:r>
          </w:p>
        </w:tc>
        <w:tc>
          <w:tcPr>
            <w:tcW w:w="1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GOODWILL AND INTANGIBLE ASSETS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Goodwill is an indefinite lived asset with balances as follows: </w:t>
      </w:r>
    </w:p>
    <w:tbl>
      <w:tblPr>
        <w:tblW w:w="3125" w:type="dxa"/>
        <w:jc w:val="left"/>
        <w:tblInd w:w="0" w:type="dxa"/>
        <w:tblLayout w:type="fixed"/>
        <w:tblCellMar>
          <w:top w:w="28" w:type="dxa"/>
          <w:left w:w="28" w:type="dxa"/>
          <w:bottom w:w="28" w:type="dxa"/>
          <w:right w:w="28" w:type="dxa"/>
        </w:tblCellMar>
      </w:tblPr>
      <w:tblGrid>
        <w:gridCol w:w="766"/>
        <w:gridCol w:w="673"/>
        <w:gridCol w:w="675"/>
        <w:gridCol w:w="196"/>
        <w:gridCol w:w="661"/>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December 31, 2024</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64,308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56,990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June 30, 2026</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57,153</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monitor our reporting units for indicators of impairment throughout the year to determine if a change in facts or circumstances warrants a re-evaluation of our goodwill. No goodwill impairment charges were recognized for the three and six months ended June 30, 2026. We incurred a non-cash impairment charge of $6.2 million in 2025 related to our Pagefield Communications Limited (“Pagefield”) Government Relations Consulting reporting unit and Pagefield Corporate Communications &amp; Public Affairs reporting unit. There was no goodwill impairment for the three and six months ended June 30, 2025.</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Intangible assets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did not recognize any impairment charges on indefinite-lived intangible assets during the three and six months ended June 30, 2026. We incurred non-cash impairment charges of $0.3 million and $2.6 million respectively, within our Pagefield Government Relations Consulting and Pagefield Corporate Communications &amp; Public Affairs Consulting reporting units in 2025. The Company has not recorded any impairment charges related to long-lived assets for the three and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20"/>
        <w:jc w:val="left"/>
        <w:rPr/>
      </w:pPr>
      <w:hyperlink w:anchor="ia205c5d90abd40f8965784bd2069137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presents the Company’s gross and net amounts of intangible assets, other than goodwill, as reported on the Consolidated Balance Sheets as of June 30, 2026 and December 31, 2025:</w:t>
      </w:r>
    </w:p>
    <w:tbl>
      <w:tblPr>
        <w:tblW w:w="10205" w:type="dxa"/>
        <w:jc w:val="left"/>
        <w:tblInd w:w="0" w:type="dxa"/>
        <w:tblLayout w:type="fixed"/>
        <w:tblCellMar>
          <w:top w:w="28" w:type="dxa"/>
          <w:left w:w="28" w:type="dxa"/>
          <w:bottom w:w="28" w:type="dxa"/>
          <w:right w:w="28" w:type="dxa"/>
        </w:tblCellMar>
      </w:tblPr>
      <w:tblGrid>
        <w:gridCol w:w="631"/>
        <w:gridCol w:w="554"/>
        <w:gridCol w:w="556"/>
        <w:gridCol w:w="925"/>
        <w:gridCol w:w="925"/>
        <w:gridCol w:w="928"/>
        <w:gridCol w:w="109"/>
        <w:gridCol w:w="109"/>
        <w:gridCol w:w="109"/>
        <w:gridCol w:w="284"/>
        <w:gridCol w:w="960"/>
        <w:gridCol w:w="158"/>
        <w:gridCol w:w="109"/>
        <w:gridCol w:w="109"/>
        <w:gridCol w:w="109"/>
        <w:gridCol w:w="403"/>
        <w:gridCol w:w="1365"/>
        <w:gridCol w:w="227"/>
        <w:gridCol w:w="109"/>
        <w:gridCol w:w="109"/>
        <w:gridCol w:w="109"/>
        <w:gridCol w:w="251"/>
        <w:gridCol w:w="850"/>
        <w:gridCol w:w="207"/>
      </w:tblGrid>
      <w:tr>
        <w:trPr/>
        <w:tc>
          <w:tcPr>
            <w:tcW w:w="63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Weighted Average Useful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Book Value</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27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41,319 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(22,780)</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18,539</w:t>
            </w: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27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2,063</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Noncompete agreements</w:t>
            </w:r>
          </w:p>
        </w:tc>
        <w:tc>
          <w:tcPr>
            <w:tcW w:w="27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(1,658)</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1,873</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definite lived assets</w:t>
            </w:r>
          </w:p>
        </w:tc>
        <w:tc>
          <w:tcPr>
            <w:tcW w:w="27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48,788 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(26,313)</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22,475</w:t>
            </w: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2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12,527</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intangible assets</w:t>
            </w:r>
          </w:p>
        </w:tc>
        <w:tc>
          <w:tcPr>
            <w:tcW w:w="277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61,315</w:t>
            </w:r>
            <w:r>
              <w:rPr>
                <w:color w:val="000000"/>
              </w:rPr>
              <w:t>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3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(26,313)</w:t>
            </w:r>
          </w:p>
        </w:tc>
        <w:tc>
          <w:tcPr>
            <w:tcW w:w="2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35,002</w:t>
            </w:r>
            <w:r>
              <w:rPr>
                <w:color w:val="000000"/>
              </w:rPr>
              <w:t> </w:t>
            </w:r>
          </w:p>
        </w:tc>
        <w:tc>
          <w:tcPr>
            <w:tcW w:w="2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32"/>
        <w:gridCol w:w="555"/>
        <w:gridCol w:w="556"/>
        <w:gridCol w:w="926"/>
        <w:gridCol w:w="926"/>
        <w:gridCol w:w="928"/>
        <w:gridCol w:w="109"/>
        <w:gridCol w:w="109"/>
        <w:gridCol w:w="109"/>
        <w:gridCol w:w="288"/>
        <w:gridCol w:w="951"/>
        <w:gridCol w:w="160"/>
        <w:gridCol w:w="109"/>
        <w:gridCol w:w="109"/>
        <w:gridCol w:w="109"/>
        <w:gridCol w:w="404"/>
        <w:gridCol w:w="1366"/>
        <w:gridCol w:w="227"/>
        <w:gridCol w:w="109"/>
        <w:gridCol w:w="109"/>
        <w:gridCol w:w="109"/>
        <w:gridCol w:w="251"/>
        <w:gridCol w:w="850"/>
        <w:gridCol w:w="204"/>
      </w:tblGrid>
      <w:tr>
        <w:trPr/>
        <w:tc>
          <w:tcPr>
            <w:tcW w:w="63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Weighted Average Useful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Book Value</w:t>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2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40,760 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(20,283)</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20,477</w:t>
            </w: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2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(1,594)</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2,344</w:t>
            </w: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Noncompete agreements</w:t>
            </w:r>
          </w:p>
        </w:tc>
        <w:tc>
          <w:tcPr>
            <w:tcW w:w="2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(1,309)</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1,802</w:t>
            </w: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definite lived assets</w:t>
            </w:r>
          </w:p>
        </w:tc>
        <w:tc>
          <w:tcPr>
            <w:tcW w:w="2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47,809 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(23,186)</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24,623</w:t>
            </w: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2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12,490</w:t>
            </w: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intangible assets</w:t>
            </w:r>
          </w:p>
        </w:tc>
        <w:tc>
          <w:tcPr>
            <w:tcW w:w="278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60,299</w:t>
            </w:r>
            <w:r>
              <w:rPr>
                <w:color w:val="000000"/>
              </w:rPr>
              <w:t> </w:t>
            </w:r>
          </w:p>
        </w:tc>
        <w:tc>
          <w:tcPr>
            <w:tcW w:w="1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3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(23,186)</w:t>
            </w:r>
          </w:p>
        </w:tc>
        <w:tc>
          <w:tcPr>
            <w:tcW w:w="2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37,113</w:t>
            </w:r>
            <w:r>
              <w:rPr>
                <w:color w:val="000000"/>
              </w:rPr>
              <w:t> </w:t>
            </w:r>
          </w:p>
        </w:tc>
        <w:tc>
          <w:tcPr>
            <w:tcW w:w="2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customer relationships, noncompete agreement and developed technology assets was approximately $1.6 million, $3.2 million, $1.7 million, and $3.0 million for the three and six months ended June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5. LEASES</w:t>
      </w:r>
    </w:p>
    <w:p>
      <w:pPr>
        <w:pStyle w:val="TextBody"/>
        <w:bidi w:val="0"/>
        <w:spacing w:lineRule="auto" w:line="288" w:before="0" w:after="180"/>
        <w:jc w:val="left"/>
        <w:rPr/>
      </w:pPr>
      <w:r>
        <w:rPr>
          <w:rFonts w:ascii="Times New Roman;serif" w:hAnsi="Times New Roman;serif"/>
          <w:b w:val="false"/>
          <w:color w:val="000000"/>
          <w:sz w:val="20"/>
        </w:rPr>
        <w:t xml:space="preserve">The Company leases office space and equipment under non-cancelable operating leases, which may include renewal or termination options that are reasonably certain of exercise. Most leases include </w:t>
      </w:r>
      <w:r>
        <w:rPr>
          <w:rFonts w:ascii="Times New Roman;serif" w:hAnsi="Times New Roman;serif"/>
          <w:b w:val="false"/>
          <w:color w:val="000000"/>
          <w:sz w:val="20"/>
          <w:shd w:fill="FFFFFF" w:val="clear"/>
        </w:rPr>
        <w:t>one</w:t>
      </w:r>
      <w:r>
        <w:rPr>
          <w:color w:val="000000"/>
        </w:rPr>
        <w:t xml:space="preserve"> </w:t>
      </w:r>
      <w:r>
        <w:rPr>
          <w:rFonts w:ascii="Times New Roman;serif" w:hAnsi="Times New Roman;serif"/>
          <w:b w:val="false"/>
          <w:color w:val="000000"/>
          <w:sz w:val="20"/>
        </w:rPr>
        <w:t xml:space="preserve">or more options to renew, and the exercise of lease renewal options is at the Company’s sole discretion. Certain of the Company’s lease agreements include rental payments that are adjusted periodically for inflation. The Company’s lease agreements do not contain any material residual value guarantees or material restrictive covenants. The Company also subleases office space to third parties under separate sublease agreements, which are generally month-to-month leases. </w:t>
      </w:r>
    </w:p>
    <w:p>
      <w:pPr>
        <w:pStyle w:val="TextBody"/>
        <w:bidi w:val="0"/>
        <w:spacing w:lineRule="auto" w:line="288" w:before="0" w:after="180"/>
        <w:jc w:val="left"/>
        <w:rPr/>
      </w:pPr>
      <w:r>
        <w:rPr>
          <w:rFonts w:ascii="Times New Roman;serif" w:hAnsi="Times New Roman;serif"/>
          <w:b w:val="false"/>
          <w:color w:val="000000"/>
          <w:sz w:val="20"/>
        </w:rPr>
        <w:t xml:space="preserve">In accordance with ASC 842 - </w:t>
      </w:r>
      <w:r>
        <w:rPr>
          <w:rFonts w:ascii="Times New Roman;serif" w:hAnsi="Times New Roman;serif"/>
          <w:b w:val="false"/>
          <w:i/>
          <w:color w:val="000000"/>
          <w:sz w:val="20"/>
        </w:rPr>
        <w:t>Leases</w:t>
      </w:r>
      <w:r>
        <w:rPr>
          <w:rFonts w:ascii="Times New Roman;serif" w:hAnsi="Times New Roman;serif"/>
          <w:b w:val="false"/>
          <w:color w:val="000000"/>
          <w:sz w:val="20"/>
        </w:rPr>
        <w:t xml:space="preserve">, the Company uses its incremental borrowing rate on the commencement date to determine the present value of its lease payments. The discount rate used to measure the lease asset, and the liability is determined at the beginning of the lease term, using the rate implicit in the lease if readily determinable, or otherwise using the Company's collateralized credit-adjusted borrowing rate.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lease costs and other quantitative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20"/>
        <w:jc w:val="left"/>
        <w:rPr/>
      </w:pPr>
      <w:hyperlink w:anchor="ia205c5d90abd40f8965784bd2069137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tbl>
      <w:tblPr>
        <w:tblW w:w="10205" w:type="dxa"/>
        <w:jc w:val="left"/>
        <w:tblInd w:w="0" w:type="dxa"/>
        <w:tblLayout w:type="fixed"/>
        <w:tblCellMar>
          <w:top w:w="28" w:type="dxa"/>
          <w:left w:w="28" w:type="dxa"/>
          <w:bottom w:w="28" w:type="dxa"/>
          <w:right w:w="28" w:type="dxa"/>
        </w:tblCellMar>
      </w:tblPr>
      <w:tblGrid>
        <w:gridCol w:w="1809"/>
        <w:gridCol w:w="1590"/>
        <w:gridCol w:w="1596"/>
        <w:gridCol w:w="196"/>
        <w:gridCol w:w="571"/>
        <w:gridCol w:w="286"/>
        <w:gridCol w:w="109"/>
        <w:gridCol w:w="109"/>
        <w:gridCol w:w="109"/>
        <w:gridCol w:w="196"/>
        <w:gridCol w:w="571"/>
        <w:gridCol w:w="286"/>
        <w:gridCol w:w="109"/>
        <w:gridCol w:w="109"/>
        <w:gridCol w:w="109"/>
        <w:gridCol w:w="196"/>
        <w:gridCol w:w="571"/>
        <w:gridCol w:w="286"/>
        <w:gridCol w:w="109"/>
        <w:gridCol w:w="109"/>
        <w:gridCol w:w="109"/>
        <w:gridCol w:w="196"/>
        <w:gridCol w:w="571"/>
        <w:gridCol w:w="303"/>
      </w:tblGrid>
      <w:tr>
        <w:trPr/>
        <w:tc>
          <w:tcPr>
            <w:tcW w:w="1809"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 (cost resulting from lease payments)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1,760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1,474</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3,247</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2,807 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cost (cost excluded from lease payments)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Sublease income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(98)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(217)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lease cost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1,792</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1,514</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3,274</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2,852</w:t>
            </w:r>
            <w:r>
              <w:rPr>
                <w:color w:val="000000"/>
              </w:rPr>
              <w:t>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1,390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1,609</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2,760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3,071 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lease term - operating leases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years</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discount rate - operating leases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6.2</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5.3</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6.2</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the current and long term operating lease liabilities are $5.3 million and $24.8 million, respectively. Future payments of operating leases as of June 30, 2026 are listed in the table below:</w:t>
      </w:r>
    </w:p>
    <w:tbl>
      <w:tblPr>
        <w:tblW w:w="5477" w:type="dxa"/>
        <w:jc w:val="left"/>
        <w:tblInd w:w="0" w:type="dxa"/>
        <w:tblLayout w:type="fixed"/>
        <w:tblCellMar>
          <w:top w:w="28" w:type="dxa"/>
          <w:left w:w="28" w:type="dxa"/>
          <w:bottom w:w="28" w:type="dxa"/>
          <w:right w:w="28" w:type="dxa"/>
        </w:tblCellMar>
      </w:tblPr>
      <w:tblGrid>
        <w:gridCol w:w="1493"/>
        <w:gridCol w:w="1318"/>
        <w:gridCol w:w="1328"/>
        <w:gridCol w:w="109"/>
        <w:gridCol w:w="109"/>
        <w:gridCol w:w="109"/>
        <w:gridCol w:w="196"/>
        <w:gridCol w:w="661"/>
        <w:gridCol w:w="154"/>
      </w:tblGrid>
      <w:tr>
        <w:trPr/>
        <w:tc>
          <w:tcPr>
            <w:tcW w:w="1493"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 (Excluding the 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3,193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6,534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7,234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5,574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3,871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10,515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future minimum lease payments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36,921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 representing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(6,818)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Present value of net future minimum lease payments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30,103</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6. NOTES PAYABLE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28, 2023, PPHC entered into a $17.0 million credit agreement with Bank of America (as amended, the “Credit Agreement”), providing for a senior secured line of credit of up to $3.0 million (the “2023 Facility 1”) and a senior secured term loan of $14.0 million (the “2023 Facility 2,” and, together with the 2023 Facility 1, the “2023 Facilities”).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April 2024 and June 2024, we executed two separate amendments to our Credit Agreement. These amendments provided for two additional term loans: a $6.0 million facility (“2024 Term Loan A”) and a $19.0 million facility (“2024 Term Loan B”). Collectively, these loans, are referred to as the “2024 Term Loans.”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January 2025, we entered into a third amendment to our Credit Agreement, which established an additional term loan facility of up to $24.0 million (the “2025 Term Loan C”). The 2025 Term Loan C, together with the 2023 Facilities and the 2024 Term Loans, are collectively referred to as the “Bank Credit Facilities.”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interest rate applicable to the 2023 Facilities is the Secured Overnight Financing Rate (“SOFR”), as administered by the Federal Reserve Bank of New York, plus 2.25% per annum. The 2024 Term Loans and the 2025 Term Loan C each bear interest at SOFR plus 2.60% per annum. Interest on all Bank Credit Facilities is payable monthly.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Bank Credit Facilities are collateralized by substantially all of our assets.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2023 Facility 2 loan matures on March 31, 2029, with monthly principal payments of $0.2 million plus interest. The 2024 Term Loans require monthly principal payments of $0.3 million plus interest until their maturity date of April 30, 2028. The 2025 Term Loan C required monthly principal payments of $0.2 million per month plus interest through March 1, 2026, increasing to $0.3 million per month plus interest through the maturity date of March 31, 2029.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20"/>
        <w:jc w:val="left"/>
        <w:rPr/>
      </w:pPr>
      <w:hyperlink w:anchor="ia205c5d90abd40f8965784bd2069137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total debt consists of the following as of: </w:t>
      </w:r>
    </w:p>
    <w:tbl>
      <w:tblPr>
        <w:tblW w:w="8647" w:type="dxa"/>
        <w:jc w:val="left"/>
        <w:tblInd w:w="0" w:type="dxa"/>
        <w:tblLayout w:type="fixed"/>
        <w:tblCellMar>
          <w:top w:w="28" w:type="dxa"/>
          <w:left w:w="28" w:type="dxa"/>
          <w:bottom w:w="28" w:type="dxa"/>
          <w:right w:w="28" w:type="dxa"/>
        </w:tblCellMar>
      </w:tblPr>
      <w:tblGrid>
        <w:gridCol w:w="1292"/>
        <w:gridCol w:w="1133"/>
        <w:gridCol w:w="1145"/>
        <w:gridCol w:w="355"/>
        <w:gridCol w:w="1172"/>
        <w:gridCol w:w="197"/>
        <w:gridCol w:w="109"/>
        <w:gridCol w:w="109"/>
        <w:gridCol w:w="109"/>
        <w:gridCol w:w="234"/>
        <w:gridCol w:w="791"/>
        <w:gridCol w:w="130"/>
        <w:gridCol w:w="109"/>
        <w:gridCol w:w="109"/>
        <w:gridCol w:w="109"/>
        <w:gridCol w:w="299"/>
        <w:gridCol w:w="1010"/>
        <w:gridCol w:w="235"/>
      </w:tblGrid>
      <w:tr>
        <w:trPr/>
        <w:tc>
          <w:tcPr>
            <w:tcW w:w="1292"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Original Loan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2023 Facility 2</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14,000 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2,567</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4,083 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2024 Term Loan A</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4,500</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2024 Term Loan B</w:t>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19,000 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14,250</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15,675 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2025 Term Loan C</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20,909</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22,407 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Bank Credit Facilities</w:t>
            </w:r>
          </w:p>
        </w:tc>
        <w:tc>
          <w:tcPr>
            <w:tcW w:w="1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63,000 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42,226</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47,115 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debt</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106</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debt issuance costs</w:t>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179</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debt, net of unamortized issuance costs</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62,252 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42,153</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46,988 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(9,867)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(9,082)</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long-term</w:t>
            </w:r>
          </w:p>
        </w:tc>
        <w:tc>
          <w:tcPr>
            <w:tcW w:w="172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32,286</w:t>
            </w:r>
            <w:r>
              <w:rPr>
                <w:color w:val="000000"/>
              </w:rPr>
              <w:t> </w:t>
            </w:r>
          </w:p>
        </w:tc>
        <w:tc>
          <w:tcPr>
            <w:tcW w:w="1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37,906</w:t>
            </w:r>
            <w:r>
              <w:rPr>
                <w:color w:val="000000"/>
              </w:rPr>
              <w:t> </w:t>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the future principal maturities of the Bank Credit Facilities are as follows:</w:t>
      </w:r>
    </w:p>
    <w:tbl>
      <w:tblPr>
        <w:tblW w:w="10205" w:type="dxa"/>
        <w:jc w:val="left"/>
        <w:tblInd w:w="0" w:type="dxa"/>
        <w:tblLayout w:type="fixed"/>
        <w:tblCellMar>
          <w:top w:w="28" w:type="dxa"/>
          <w:left w:w="28" w:type="dxa"/>
          <w:bottom w:w="28" w:type="dxa"/>
          <w:right w:w="28" w:type="dxa"/>
        </w:tblCellMar>
      </w:tblPr>
      <w:tblGrid>
        <w:gridCol w:w="1116"/>
        <w:gridCol w:w="981"/>
        <w:gridCol w:w="987"/>
        <w:gridCol w:w="235"/>
        <w:gridCol w:w="685"/>
        <w:gridCol w:w="130"/>
        <w:gridCol w:w="109"/>
        <w:gridCol w:w="109"/>
        <w:gridCol w:w="109"/>
        <w:gridCol w:w="275"/>
        <w:gridCol w:w="802"/>
        <w:gridCol w:w="153"/>
        <w:gridCol w:w="109"/>
        <w:gridCol w:w="109"/>
        <w:gridCol w:w="109"/>
        <w:gridCol w:w="255"/>
        <w:gridCol w:w="861"/>
        <w:gridCol w:w="141"/>
        <w:gridCol w:w="109"/>
        <w:gridCol w:w="109"/>
        <w:gridCol w:w="109"/>
        <w:gridCol w:w="255"/>
        <w:gridCol w:w="861"/>
        <w:gridCol w:w="141"/>
        <w:gridCol w:w="109"/>
        <w:gridCol w:w="109"/>
        <w:gridCol w:w="109"/>
        <w:gridCol w:w="196"/>
        <w:gridCol w:w="661"/>
        <w:gridCol w:w="162"/>
      </w:tblGrid>
      <w:tr>
        <w:trPr/>
        <w:tc>
          <w:tcPr>
            <w:tcW w:w="111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2023 Facility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2024 Term Loan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2024 Term Loan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2025 Term Loan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(excluding the six months ended June 30, 2026)</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4,725</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8,867</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9,975 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16,725</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11,909 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11,909</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08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2,567</w:t>
            </w:r>
            <w:r>
              <w:rPr>
                <w:color w:val="000000"/>
              </w:rPr>
              <w:t> </w:t>
            </w:r>
          </w:p>
        </w:tc>
        <w:tc>
          <w:tcPr>
            <w:tcW w:w="1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4,500</w:t>
            </w:r>
            <w:r>
              <w:rPr>
                <w:color w:val="000000"/>
              </w:rPr>
              <w:t> </w:t>
            </w:r>
          </w:p>
        </w:tc>
        <w:tc>
          <w:tcPr>
            <w:tcW w:w="1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14,250</w:t>
            </w:r>
            <w:r>
              <w:rPr>
                <w:color w:val="000000"/>
              </w:rPr>
              <w:t> </w:t>
            </w:r>
          </w:p>
        </w:tc>
        <w:tc>
          <w:tcPr>
            <w:tcW w:w="1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20,909</w:t>
            </w:r>
            <w:r>
              <w:rPr>
                <w:color w:val="000000"/>
              </w:rPr>
              <w:t> </w:t>
            </w:r>
          </w:p>
        </w:tc>
        <w:tc>
          <w:tcPr>
            <w:tcW w:w="1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bookmarkStart w:id="0" w:name="i27a90e8fcd2b4a5b9c358ad84646ad5a_6-9-1-"/>
            <w:bookmarkEnd w:id="0"/>
            <w:r>
              <w:rPr>
                <w:rFonts w:ascii="Times New Roman;serif" w:hAnsi="Times New Roman;serif"/>
                <w:b/>
                <w:color w:val="000000"/>
                <w:sz w:val="18"/>
              </w:rPr>
              <w:t>42,226</w:t>
            </w:r>
            <w:r>
              <w:rPr>
                <w:color w:val="000000"/>
              </w:rPr>
              <w:t>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Total approximate interest expense incurred was as follows:</w:t>
      </w:r>
    </w:p>
    <w:tbl>
      <w:tblPr>
        <w:tblW w:w="7758" w:type="dxa"/>
        <w:jc w:val="left"/>
        <w:tblInd w:w="0" w:type="dxa"/>
        <w:tblLayout w:type="fixed"/>
        <w:tblCellMar>
          <w:top w:w="28" w:type="dxa"/>
          <w:left w:w="28" w:type="dxa"/>
          <w:bottom w:w="28" w:type="dxa"/>
          <w:right w:w="28" w:type="dxa"/>
        </w:tblCellMar>
      </w:tblPr>
      <w:tblGrid>
        <w:gridCol w:w="1027"/>
        <w:gridCol w:w="902"/>
        <w:gridCol w:w="906"/>
        <w:gridCol w:w="258"/>
        <w:gridCol w:w="575"/>
        <w:gridCol w:w="143"/>
        <w:gridCol w:w="143"/>
        <w:gridCol w:w="143"/>
        <w:gridCol w:w="143"/>
        <w:gridCol w:w="258"/>
        <w:gridCol w:w="575"/>
        <w:gridCol w:w="143"/>
        <w:gridCol w:w="109"/>
        <w:gridCol w:w="109"/>
        <w:gridCol w:w="109"/>
        <w:gridCol w:w="204"/>
        <w:gridCol w:w="597"/>
        <w:gridCol w:w="113"/>
        <w:gridCol w:w="113"/>
        <w:gridCol w:w="113"/>
        <w:gridCol w:w="113"/>
        <w:gridCol w:w="204"/>
        <w:gridCol w:w="597"/>
        <w:gridCol w:w="161"/>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450"/>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interest on Bank Credit Facilities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702</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1,450</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interest on other debt</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discount amortization</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21</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72</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interest expense</w:t>
            </w:r>
          </w:p>
        </w:tc>
        <w:tc>
          <w:tcPr>
            <w:tcW w:w="2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725</w:t>
            </w:r>
            <w:r>
              <w:rPr>
                <w:color w:val="000000"/>
              </w:rPr>
              <w:t> </w:t>
            </w:r>
          </w:p>
        </w:tc>
        <w:tc>
          <w:tcPr>
            <w:tcW w:w="1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865</w:t>
            </w:r>
            <w:r>
              <w:rPr>
                <w:color w:val="000000"/>
              </w:rPr>
              <w:t> </w:t>
            </w:r>
          </w:p>
        </w:tc>
        <w:tc>
          <w:tcPr>
            <w:tcW w:w="1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1,527</w:t>
            </w:r>
            <w:r>
              <w:rPr>
                <w:color w:val="000000"/>
              </w:rPr>
              <w:t> </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1,500</w:t>
            </w:r>
            <w:r>
              <w:rPr>
                <w:color w:val="000000"/>
              </w:rPr>
              <w:t> </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Credit Agreement and Amended Credit Agreements for the Bank Credit Facilities contain certain non-financial and financial covenants with which the Company is required to comply. The Company must submit a compliance certificate to the bank on a quarterly basis. The financial covenants include a total leverage ratio and fixed coverage ratio. The Company was in compliance with all covenants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7. SEGMENT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determined that its business is conducted across three reportable segments as of June 30, 2026, as follows: Government Relations Consulting, Corporate Communications &amp; Public Affairs Consulting and Compliance and Insights Services. </w:t>
      </w:r>
    </w:p>
    <w:p>
      <w:pPr>
        <w:pStyle w:val="TextBody"/>
        <w:bidi w:val="0"/>
        <w:spacing w:lineRule="auto" w:line="288" w:before="0" w:after="180"/>
        <w:jc w:val="left"/>
        <w:rPr/>
      </w:pPr>
      <w:r>
        <w:rPr>
          <w:color w:val="000000"/>
        </w:rPr>
        <w:t>•</w:t>
      </w:r>
      <w:r>
        <w:rPr>
          <w:rFonts w:ascii="Times New Roman;serif" w:hAnsi="Times New Roman;serif"/>
          <w:b w:val="false"/>
          <w:i/>
          <w:color w:val="000000"/>
          <w:sz w:val="20"/>
        </w:rPr>
        <w:t>Government Relations Consulting</w:t>
      </w:r>
      <w:r>
        <w:rPr>
          <w:color w:val="000000"/>
        </w:rPr>
        <w:t xml:space="preserve"> </w:t>
      </w:r>
      <w:r>
        <w:rPr>
          <w:rFonts w:ascii="Times New Roman;serif" w:hAnsi="Times New Roman;serif"/>
          <w:b w:val="false"/>
          <w:color w:val="000000"/>
          <w:sz w:val="20"/>
        </w:rPr>
        <w:t>services (also commonly referred to as “lobbying”) include advocacy, strategic guidance, political intelligence and issue monitoring at the U.S. federal and state levels, and in the United Kingdom through our offices in London;</w:t>
      </w:r>
    </w:p>
    <w:p>
      <w:pPr>
        <w:pStyle w:val="TextBody"/>
        <w:bidi w:val="0"/>
        <w:spacing w:lineRule="auto" w:line="288" w:before="0" w:after="180"/>
        <w:jc w:val="left"/>
        <w:rPr/>
      </w:pPr>
      <w:r>
        <w:rPr>
          <w:color w:val="000000"/>
        </w:rPr>
        <w:t>•</w:t>
      </w:r>
      <w:r>
        <w:rPr>
          <w:rFonts w:ascii="Times New Roman;serif" w:hAnsi="Times New Roman;serif"/>
          <w:b w:val="false"/>
          <w:i/>
          <w:color w:val="000000"/>
          <w:sz w:val="20"/>
        </w:rPr>
        <w:t>Corporate Communications &amp; Public Affairs Consulting</w:t>
      </w:r>
      <w:r>
        <w:rPr>
          <w:color w:val="000000"/>
        </w:rPr>
        <w:t xml:space="preserve"> </w:t>
      </w:r>
      <w:r>
        <w:rPr>
          <w:rFonts w:ascii="Times New Roman;serif" w:hAnsi="Times New Roman;serif"/>
          <w:b w:val="false"/>
          <w:color w:val="000000"/>
          <w:sz w:val="20"/>
        </w:rPr>
        <w:t>services include policy communications, crisis communications, financial communications and investor relations, litigation support, community relations, social and digital media, public opinion research, branding and messaging, and relationship marketing, across the United States and internationally through our offices in London, Shanghai, Abu Dhabi, and Dubai;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20"/>
        <w:jc w:val="left"/>
        <w:rPr/>
      </w:pPr>
      <w:hyperlink w:anchor="ia205c5d90abd40f8965784bd2069137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p>
      <w:pPr>
        <w:pStyle w:val="TextBody"/>
        <w:bidi w:val="0"/>
        <w:spacing w:lineRule="auto" w:line="288" w:before="0" w:after="180"/>
        <w:jc w:val="left"/>
        <w:rPr/>
      </w:pPr>
      <w:r>
        <w:rPr>
          <w:color w:val="000000"/>
        </w:rPr>
        <w:t>•</w:t>
      </w:r>
      <w:r>
        <w:rPr>
          <w:rFonts w:ascii="Times New Roman;serif" w:hAnsi="Times New Roman;serif"/>
          <w:b w:val="false"/>
          <w:i/>
          <w:color w:val="000000"/>
          <w:sz w:val="20"/>
        </w:rPr>
        <w:t xml:space="preserve">Compliance and Insights Services </w:t>
      </w:r>
      <w:r>
        <w:rPr>
          <w:rFonts w:ascii="Times New Roman;serif" w:hAnsi="Times New Roman;serif"/>
          <w:b w:val="false"/>
          <w:color w:val="000000"/>
          <w:sz w:val="20"/>
        </w:rPr>
        <w:t>include lobbying compliance services and legislative tracking.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Chief Operating Decision Maker ("CODM"), who is the Company's Chief Executive Officer, utilizes segment revenues, significant expenses consisting of staff costs and non-staff costs by segment and Adjusted Pre-Bonus EBITDA by segment (as described in the MD&amp;A) to evaluate the Company’s financial performance, allocate resources, and make key operating decisions. The CODM is not regularly provided asset information on a segment basis, as it is not used to allocate resources or assess performance for each segment. Therefore, total segment assets have not been disclosed. In addition, for the three and six months ended June 30, 2026 and 2025, revenues in each of the three segments were primarily attributable the United States operations, as there were no other countries from which the Company derived segment revenues that exceeded 10% of that segment's total.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key segment information and a reconciliation to the consolidated net loss after income taxes for each of the three and six months ended June 30, 2026, and 2025. </w:t>
      </w:r>
    </w:p>
    <w:tbl>
      <w:tblPr>
        <w:tblW w:w="10205" w:type="dxa"/>
        <w:jc w:val="left"/>
        <w:tblInd w:w="0" w:type="dxa"/>
        <w:tblLayout w:type="fixed"/>
        <w:tblCellMar>
          <w:top w:w="28" w:type="dxa"/>
          <w:left w:w="28" w:type="dxa"/>
          <w:bottom w:w="28" w:type="dxa"/>
          <w:right w:w="28" w:type="dxa"/>
        </w:tblCellMar>
      </w:tblPr>
      <w:tblGrid>
        <w:gridCol w:w="1060"/>
        <w:gridCol w:w="687"/>
        <w:gridCol w:w="698"/>
        <w:gridCol w:w="395"/>
        <w:gridCol w:w="1336"/>
        <w:gridCol w:w="221"/>
        <w:gridCol w:w="109"/>
        <w:gridCol w:w="109"/>
        <w:gridCol w:w="109"/>
        <w:gridCol w:w="384"/>
        <w:gridCol w:w="1297"/>
        <w:gridCol w:w="215"/>
        <w:gridCol w:w="109"/>
        <w:gridCol w:w="109"/>
        <w:gridCol w:w="109"/>
        <w:gridCol w:w="428"/>
        <w:gridCol w:w="1248"/>
        <w:gridCol w:w="240"/>
        <w:gridCol w:w="109"/>
        <w:gridCol w:w="109"/>
        <w:gridCol w:w="109"/>
        <w:gridCol w:w="196"/>
        <w:gridCol w:w="661"/>
        <w:gridCol w:w="158"/>
      </w:tblGrid>
      <w:tr>
        <w:trPr/>
        <w:tc>
          <w:tcPr>
            <w:tcW w:w="106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Government Relations Consulting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Corporate Communications </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&amp; Public Affairs Consulting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Compliance and Insights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30,369</w:t>
            </w: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18,166</w:t>
            </w: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3,608</w:t>
            </w: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52,143</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1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Staff costs</w:t>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13,143 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10,886 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25,560</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Non-staff costs</w:t>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5,992</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Segment Adjusted Pre-Bonus EBITDA</w:t>
            </w:r>
          </w:p>
        </w:tc>
        <w:tc>
          <w:tcPr>
            <w:tcW w:w="19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14,513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4,265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1,813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20,592</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to net loss before income taxes:</w:t>
            </w:r>
          </w:p>
        </w:tc>
        <w:tc>
          <w:tcPr>
            <w:tcW w:w="1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bonuses</w:t>
            </w:r>
          </w:p>
        </w:tc>
        <w:tc>
          <w:tcPr>
            <w:tcW w:w="1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(4,039)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corporate level expenses</w:t>
            </w:r>
          </w:p>
        </w:tc>
        <w:tc>
          <w:tcPr>
            <w:tcW w:w="1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(5,317)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accounting charge</w:t>
            </w:r>
          </w:p>
        </w:tc>
        <w:tc>
          <w:tcPr>
            <w:tcW w:w="1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(7,362)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Post-combination compensation charges</w:t>
            </w:r>
          </w:p>
        </w:tc>
        <w:tc>
          <w:tcPr>
            <w:tcW w:w="1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(4,191)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 term incentive program charges</w:t>
            </w:r>
          </w:p>
        </w:tc>
        <w:tc>
          <w:tcPr>
            <w:tcW w:w="1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(1,070)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contingent consideration</w:t>
            </w:r>
          </w:p>
        </w:tc>
        <w:tc>
          <w:tcPr>
            <w:tcW w:w="1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(892)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1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(1,551)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(3,886)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bargain purchase</w:t>
            </w:r>
          </w:p>
        </w:tc>
        <w:tc>
          <w:tcPr>
            <w:tcW w:w="1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846</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net</w:t>
            </w:r>
          </w:p>
        </w:tc>
        <w:tc>
          <w:tcPr>
            <w:tcW w:w="1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(470)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1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128</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before income taxes</w:t>
            </w:r>
          </w:p>
        </w:tc>
        <w:tc>
          <w:tcPr>
            <w:tcW w:w="1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(3,382)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352</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after income taxes</w:t>
            </w:r>
          </w:p>
        </w:tc>
        <w:tc>
          <w:tcPr>
            <w:tcW w:w="1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(3,734)</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20"/>
        <w:jc w:val="left"/>
        <w:rPr/>
      </w:pPr>
      <w:hyperlink w:anchor="ia205c5d90abd40f8965784bd2069137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tbl>
      <w:tblPr>
        <w:tblW w:w="10205" w:type="dxa"/>
        <w:jc w:val="left"/>
        <w:tblInd w:w="0" w:type="dxa"/>
        <w:tblLayout w:type="fixed"/>
        <w:tblCellMar>
          <w:top w:w="28" w:type="dxa"/>
          <w:left w:w="28" w:type="dxa"/>
          <w:bottom w:w="28" w:type="dxa"/>
          <w:right w:w="28" w:type="dxa"/>
        </w:tblCellMar>
      </w:tblPr>
      <w:tblGrid>
        <w:gridCol w:w="1060"/>
        <w:gridCol w:w="689"/>
        <w:gridCol w:w="700"/>
        <w:gridCol w:w="402"/>
        <w:gridCol w:w="1329"/>
        <w:gridCol w:w="225"/>
        <w:gridCol w:w="109"/>
        <w:gridCol w:w="109"/>
        <w:gridCol w:w="109"/>
        <w:gridCol w:w="390"/>
        <w:gridCol w:w="1289"/>
        <w:gridCol w:w="219"/>
        <w:gridCol w:w="109"/>
        <w:gridCol w:w="109"/>
        <w:gridCol w:w="109"/>
        <w:gridCol w:w="436"/>
        <w:gridCol w:w="1239"/>
        <w:gridCol w:w="244"/>
        <w:gridCol w:w="109"/>
        <w:gridCol w:w="109"/>
        <w:gridCol w:w="109"/>
        <w:gridCol w:w="196"/>
        <w:gridCol w:w="646"/>
        <w:gridCol w:w="160"/>
      </w:tblGrid>
      <w:tr>
        <w:trPr/>
        <w:tc>
          <w:tcPr>
            <w:tcW w:w="106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2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Government Relations Consulting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Corporate Communications </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&amp; Public Affairs Consulting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Compliance and Insights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27,301 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18,144 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3,143 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48,588 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1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Staff costs</w:t>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12,297 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10,408 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23,969 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Non-staff costs</w:t>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Segment Adjusted Pre-Bonus EBITDA</w:t>
            </w:r>
          </w:p>
        </w:tc>
        <w:tc>
          <w:tcPr>
            <w:tcW w:w="1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12,745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19,482</w:t>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to net loss before income taxes:</w:t>
            </w:r>
          </w:p>
        </w:tc>
        <w:tc>
          <w:tcPr>
            <w:tcW w:w="1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bonuses</w:t>
            </w:r>
          </w:p>
        </w:tc>
        <w:tc>
          <w:tcPr>
            <w:tcW w:w="1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(3,745)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corporate level expenses</w:t>
            </w:r>
          </w:p>
        </w:tc>
        <w:tc>
          <w:tcPr>
            <w:tcW w:w="1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accounting charge</w:t>
            </w:r>
          </w:p>
        </w:tc>
        <w:tc>
          <w:tcPr>
            <w:tcW w:w="1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(7,394)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Post-combination compensation charges</w:t>
            </w:r>
          </w:p>
        </w:tc>
        <w:tc>
          <w:tcPr>
            <w:tcW w:w="1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(5,336)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 term incentive program charges</w:t>
            </w:r>
          </w:p>
        </w:tc>
        <w:tc>
          <w:tcPr>
            <w:tcW w:w="1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contingent consideration</w:t>
            </w:r>
          </w:p>
        </w:tc>
        <w:tc>
          <w:tcPr>
            <w:tcW w:w="1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1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bargain purchase</w:t>
            </w:r>
          </w:p>
        </w:tc>
        <w:tc>
          <w:tcPr>
            <w:tcW w:w="1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net</w:t>
            </w:r>
          </w:p>
        </w:tc>
        <w:tc>
          <w:tcPr>
            <w:tcW w:w="1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before income taxes</w:t>
            </w:r>
          </w:p>
        </w:tc>
        <w:tc>
          <w:tcPr>
            <w:tcW w:w="1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(5,754)</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1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after income taxes</w:t>
            </w:r>
          </w:p>
        </w:tc>
        <w:tc>
          <w:tcPr>
            <w:tcW w:w="1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(5,730)</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20"/>
        <w:jc w:val="left"/>
        <w:rPr/>
      </w:pPr>
      <w:hyperlink w:anchor="ia205c5d90abd40f8965784bd2069137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tbl>
      <w:tblPr>
        <w:tblW w:w="10205" w:type="dxa"/>
        <w:jc w:val="left"/>
        <w:tblInd w:w="0" w:type="dxa"/>
        <w:tblLayout w:type="fixed"/>
        <w:tblCellMar>
          <w:top w:w="28" w:type="dxa"/>
          <w:left w:w="28" w:type="dxa"/>
          <w:bottom w:w="28" w:type="dxa"/>
          <w:right w:w="28" w:type="dxa"/>
        </w:tblCellMar>
      </w:tblPr>
      <w:tblGrid>
        <w:gridCol w:w="1054"/>
        <w:gridCol w:w="675"/>
        <w:gridCol w:w="686"/>
        <w:gridCol w:w="390"/>
        <w:gridCol w:w="1319"/>
        <w:gridCol w:w="218"/>
        <w:gridCol w:w="109"/>
        <w:gridCol w:w="109"/>
        <w:gridCol w:w="109"/>
        <w:gridCol w:w="381"/>
        <w:gridCol w:w="1289"/>
        <w:gridCol w:w="213"/>
        <w:gridCol w:w="109"/>
        <w:gridCol w:w="109"/>
        <w:gridCol w:w="109"/>
        <w:gridCol w:w="422"/>
        <w:gridCol w:w="1232"/>
        <w:gridCol w:w="237"/>
        <w:gridCol w:w="109"/>
        <w:gridCol w:w="109"/>
        <w:gridCol w:w="109"/>
        <w:gridCol w:w="196"/>
        <w:gridCol w:w="751"/>
        <w:gridCol w:w="161"/>
      </w:tblGrid>
      <w:tr>
        <w:trPr/>
        <w:tc>
          <w:tcPr>
            <w:tcW w:w="105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Government Relations Consulting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Corporate Communications </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&amp; Public Affairs Consulting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Compliance and Insights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58,727</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36,459</w:t>
            </w: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7,080</w:t>
            </w: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102,266</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1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Staff costs by segment</w:t>
            </w:r>
          </w:p>
        </w:tc>
        <w:tc>
          <w:tcPr>
            <w:tcW w:w="1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26,046 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21,866 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50,916</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Non-staff costs by segment</w:t>
            </w:r>
          </w:p>
        </w:tc>
        <w:tc>
          <w:tcPr>
            <w:tcW w:w="1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5,535 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11,325</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Segment Adjusted Pre-Bonus EBITDA</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27,409</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9,058</w:t>
            </w: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3,558</w:t>
            </w: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40,025</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to net loss before income taxes:</w:t>
            </w:r>
          </w:p>
        </w:tc>
        <w:tc>
          <w:tcPr>
            <w:tcW w:w="1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bonuses</w:t>
            </w:r>
          </w:p>
        </w:tc>
        <w:tc>
          <w:tcPr>
            <w:tcW w:w="1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(7,928)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corporate level expenses</w:t>
            </w:r>
          </w:p>
        </w:tc>
        <w:tc>
          <w:tcPr>
            <w:tcW w:w="1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(10,006)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(98)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accounting charge</w:t>
            </w:r>
          </w:p>
        </w:tc>
        <w:tc>
          <w:tcPr>
            <w:tcW w:w="1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(14,644)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Post-combination compensation charges</w:t>
            </w:r>
          </w:p>
        </w:tc>
        <w:tc>
          <w:tcPr>
            <w:tcW w:w="1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(7,037)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 term incentive program charges</w:t>
            </w:r>
          </w:p>
        </w:tc>
        <w:tc>
          <w:tcPr>
            <w:tcW w:w="1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(2,033)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contingent consideration</w:t>
            </w:r>
          </w:p>
        </w:tc>
        <w:tc>
          <w:tcPr>
            <w:tcW w:w="1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(7,195)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1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(3,154)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(12,070)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bargain purchase</w:t>
            </w:r>
          </w:p>
        </w:tc>
        <w:tc>
          <w:tcPr>
            <w:tcW w:w="1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898</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net</w:t>
            </w:r>
          </w:p>
        </w:tc>
        <w:tc>
          <w:tcPr>
            <w:tcW w:w="1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(1,260)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294</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before income taxes</w:t>
            </w:r>
          </w:p>
        </w:tc>
        <w:tc>
          <w:tcPr>
            <w:tcW w:w="1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(12,138)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3,092</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after income taxes</w:t>
            </w:r>
          </w:p>
        </w:tc>
        <w:tc>
          <w:tcPr>
            <w:tcW w:w="1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(15,230)</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20"/>
        <w:jc w:val="left"/>
        <w:rPr/>
      </w:pPr>
      <w:hyperlink w:anchor="ia205c5d90abd40f8965784bd2069137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tbl>
      <w:tblPr>
        <w:tblW w:w="10205" w:type="dxa"/>
        <w:jc w:val="left"/>
        <w:tblInd w:w="0" w:type="dxa"/>
        <w:tblLayout w:type="fixed"/>
        <w:tblCellMar>
          <w:top w:w="28" w:type="dxa"/>
          <w:left w:w="28" w:type="dxa"/>
          <w:bottom w:w="28" w:type="dxa"/>
          <w:right w:w="28" w:type="dxa"/>
        </w:tblCellMar>
      </w:tblPr>
      <w:tblGrid>
        <w:gridCol w:w="1057"/>
        <w:gridCol w:w="683"/>
        <w:gridCol w:w="694"/>
        <w:gridCol w:w="399"/>
        <w:gridCol w:w="1321"/>
        <w:gridCol w:w="224"/>
        <w:gridCol w:w="109"/>
        <w:gridCol w:w="109"/>
        <w:gridCol w:w="109"/>
        <w:gridCol w:w="388"/>
        <w:gridCol w:w="1285"/>
        <w:gridCol w:w="218"/>
        <w:gridCol w:w="109"/>
        <w:gridCol w:w="109"/>
        <w:gridCol w:w="109"/>
        <w:gridCol w:w="433"/>
        <w:gridCol w:w="1231"/>
        <w:gridCol w:w="242"/>
        <w:gridCol w:w="109"/>
        <w:gridCol w:w="109"/>
        <w:gridCol w:w="109"/>
        <w:gridCol w:w="196"/>
        <w:gridCol w:w="692"/>
        <w:gridCol w:w="161"/>
      </w:tblGrid>
      <w:tr>
        <w:trPr/>
        <w:tc>
          <w:tcPr>
            <w:tcW w:w="105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2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Government Relations Consulting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Corporate Communications </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&amp; Public Affairs Consulting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Compliance and Insights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53,465 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28,156 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6,277 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87,899 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Staff costs by segment</w:t>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24,898 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16,728 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44,212 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Non-staff costs by segment</w:t>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4,186 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Segment Adjusted Pre-Bonus EBITDA</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24,242 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7,242 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34,889 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to net loss before income taxes:</w:t>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bonuses</w:t>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(6,883)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corporate level expenses</w:t>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(6,814)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accounting charge</w:t>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(14,838)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Post-combination compensation charges</w:t>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(8,776)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 term incentive program charges</w:t>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contingent consideration</w:t>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(10,798)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bargain purchase</w:t>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net</w:t>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before income taxes</w:t>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(12,258)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after income taxes</w:t>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(16,346)</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INCOME TAXES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uses the asset and liability method of accounting for income taxes. Deferred tax assets and liabilities are determined based on differences between the financial reporting and tax bases of assets and liabilities and are measured using the enacted tax rates and laws that are expected to be in effect when the differences are expected to reverse. The effect on deferred tax assets and liabilities of a change in tax rates is recognized in the period that such tax rate changes are enacted.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measurement of a deferred tax asset is reduced, if necessary, by a valuation allowance if it is more likely than not that some portion or all of the deferred tax asset will not be realized. As of June 30, 2026, and June 30, 2025, no material valuation allowance has been recorded against the Company’s deferred tax assets.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applies a recognition threshold and measurement attribute for the financial statement recognition and measurement of tax positions taken or expected to be taken in a tax return. For a tax benefit to be recognized, a tax position must be more likely than not to be sustained upon examination by taxing authorities. The Company has not identified any uncertain income tax positions that could have a material impact on the condensed consolidated financial statements. The Company recognizes interest and penalties accrued on any unrecognized tax exposures as a component of income tax expense; the Company did not have any such amounts accrued as of June 30, 2026, and December 31, 2025. Tax years from 2022 to 2025 remain subject to examination.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interim periods, the Company recognizes an income tax expense or benefit based on an estimated annual effective tax rate ("EAETR"), calculated on a worldwide consolidated basis, expected for the full fiscal year. The EAETR is based on the statutory tax rates then in effect and adjusted for estimated permanent differences. Discrete items, when material, are excluded from the EAETR and are recognized in the interim period in which they occur. These changes in permanent differences and discrete items result in variances to the effective tax rate from period to period. The Company’s EAETR changes throughout the year as on-going estimates of pre-tax income, and changes in permanent differences are revised.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20"/>
        <w:jc w:val="left"/>
        <w:rPr/>
      </w:pPr>
      <w:hyperlink w:anchor="ia205c5d90abd40f8965784bd2069137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 recognized an income tax expense of approximately $0.4 million and $3.1 million on a net loss before income taxes of $3.4 million and $12.1 million, respectively. Income tax expense for the six month period included a discrete tax benefit of approximately $1.7 million related to a one</w:t>
        <w:noBreakHyphen/>
        <w:t xml:space="preserve">time transaction that resulted in the recognition of a deferred tax asset. This discrete benefit was recognized in the period incurred and was excluded from the Company’s estimated annual effective tax rate. The Company’s effective tax rate for the three months ended June 30, 2026, was (10.4)%, The Company’s effective tax rate for the six months ended June 30, 2026, was (25.5)%, which was significantly impacted by the discrete item described above.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2025, the Company recognized an income tax expense (benefit) of approximately less than $(0.1) million and $4.1 million on a net loss before income taxes of $5.8 million and $12.3 million, respectively. The effective tax rate for the three and six months ended June 30, 2025 was 0.4% and (33.5)%, respectively.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effective tax rates for the periods differed from the federal statutory rate of 21% primarily due to state taxes, GAAP compensation incurred that is not deductible for tax purposes, as well as other items related to prior periods’ business combinations that generate permanent book/tax differences.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does not expect that any law changes enacted during the period will have a material impact on the provision for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9. FAIR VALUE MEASUREMENT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Company’s liabilities that are measured at fair value on a recurring basis by their respective fair value hierarchy level as of June 30, 2026:</w:t>
      </w:r>
    </w:p>
    <w:tbl>
      <w:tblPr>
        <w:tblW w:w="4977" w:type="dxa"/>
        <w:jc w:val="left"/>
        <w:tblInd w:w="0" w:type="dxa"/>
        <w:tblLayout w:type="fixed"/>
        <w:tblCellMar>
          <w:top w:w="28" w:type="dxa"/>
          <w:left w:w="28" w:type="dxa"/>
          <w:bottom w:w="28" w:type="dxa"/>
          <w:right w:w="28" w:type="dxa"/>
        </w:tblCellMar>
      </w:tblPr>
      <w:tblGrid>
        <w:gridCol w:w="684"/>
        <w:gridCol w:w="602"/>
        <w:gridCol w:w="604"/>
        <w:gridCol w:w="196"/>
        <w:gridCol w:w="406"/>
        <w:gridCol w:w="109"/>
        <w:gridCol w:w="109"/>
        <w:gridCol w:w="109"/>
        <w:gridCol w:w="109"/>
        <w:gridCol w:w="196"/>
        <w:gridCol w:w="406"/>
        <w:gridCol w:w="109"/>
        <w:gridCol w:w="109"/>
        <w:gridCol w:w="109"/>
        <w:gridCol w:w="109"/>
        <w:gridCol w:w="196"/>
        <w:gridCol w:w="661"/>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Level 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Level 3 </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27,627</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Company’s liabilities that are measured at fair value on a recurring basis by their respective fair value hierarchy level as of December 31, 2025:</w:t>
      </w:r>
    </w:p>
    <w:tbl>
      <w:tblPr>
        <w:tblW w:w="4977" w:type="dxa"/>
        <w:jc w:val="left"/>
        <w:tblInd w:w="0" w:type="dxa"/>
        <w:tblLayout w:type="fixed"/>
        <w:tblCellMar>
          <w:top w:w="28" w:type="dxa"/>
          <w:left w:w="28" w:type="dxa"/>
          <w:bottom w:w="28" w:type="dxa"/>
          <w:right w:w="28" w:type="dxa"/>
        </w:tblCellMar>
      </w:tblPr>
      <w:tblGrid>
        <w:gridCol w:w="684"/>
        <w:gridCol w:w="602"/>
        <w:gridCol w:w="604"/>
        <w:gridCol w:w="196"/>
        <w:gridCol w:w="406"/>
        <w:gridCol w:w="109"/>
        <w:gridCol w:w="109"/>
        <w:gridCol w:w="109"/>
        <w:gridCol w:w="109"/>
        <w:gridCol w:w="196"/>
        <w:gridCol w:w="406"/>
        <w:gridCol w:w="109"/>
        <w:gridCol w:w="109"/>
        <w:gridCol w:w="109"/>
        <w:gridCol w:w="109"/>
        <w:gridCol w:w="196"/>
        <w:gridCol w:w="661"/>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Level 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Level 3 </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25,028</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values of cash, contract receivables, and accounts payable and accrued expenses on June 30, 2026 and December 31, 2025 approximated their fair value due to the short maturity of these instruments.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Financial Instruments that are Measured at Fair Value on a Recurring Basis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Contingent Consideration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fair value of contingent consideration from the Company's acquisitions were measured using Level 3 inputs.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 in fair value, as determined by Level 3 inputs, for the contingent consideration using the unobservable Level 3 inputs for the six months ended June 30, 2026 as follows:</w:t>
      </w:r>
    </w:p>
    <w:tbl>
      <w:tblPr>
        <w:tblW w:w="4701" w:type="dxa"/>
        <w:jc w:val="left"/>
        <w:tblInd w:w="0" w:type="dxa"/>
        <w:tblLayout w:type="fixed"/>
        <w:tblCellMar>
          <w:top w:w="28" w:type="dxa"/>
          <w:left w:w="28" w:type="dxa"/>
          <w:bottom w:w="28" w:type="dxa"/>
          <w:right w:w="28" w:type="dxa"/>
        </w:tblCellMar>
      </w:tblPr>
      <w:tblGrid>
        <w:gridCol w:w="1334"/>
        <w:gridCol w:w="1176"/>
        <w:gridCol w:w="1180"/>
        <w:gridCol w:w="196"/>
        <w:gridCol w:w="661"/>
        <w:gridCol w:w="154"/>
      </w:tblGrid>
      <w:tr>
        <w:trPr/>
        <w:tc>
          <w:tcPr>
            <w:tcW w:w="133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stock payout of contingent consideration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currency translation adjustment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16,699</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20"/>
        <w:jc w:val="left"/>
        <w:rPr/>
      </w:pPr>
      <w:hyperlink w:anchor="ia205c5d90abd40f8965784bd2069137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 in fair value, as determined by Level 3 inputs, for the contingent consideration using the unobservable Level 3 inputs for the six months ended June 30, 2025 as follows:</w:t>
      </w:r>
    </w:p>
    <w:tbl>
      <w:tblPr>
        <w:tblW w:w="3981" w:type="dxa"/>
        <w:jc w:val="left"/>
        <w:tblInd w:w="0" w:type="dxa"/>
        <w:tblLayout w:type="fixed"/>
        <w:tblCellMar>
          <w:top w:w="28" w:type="dxa"/>
          <w:left w:w="28" w:type="dxa"/>
          <w:bottom w:w="28" w:type="dxa"/>
          <w:right w:w="28" w:type="dxa"/>
        </w:tblCellMar>
      </w:tblPr>
      <w:tblGrid>
        <w:gridCol w:w="1079"/>
        <w:gridCol w:w="951"/>
        <w:gridCol w:w="955"/>
        <w:gridCol w:w="196"/>
        <w:gridCol w:w="646"/>
        <w:gridCol w:w="154"/>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currency translation adjustment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15,426 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contingent consideration is calculated using Monte Carlo simulations with inputs such as expected volatility of future operating results, discount rates applicable to future results, and expected growth rates.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Liabilities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other liabilities, comprising of post-combination compensation obligations of the Company, relates to various acquisitions. The estimated fair value of other liabilities is calculated by Monte Carlo simulations, which utilize estimates including expected volatility of future operating results, discount rates applicable to future results, and expected growth rates.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 in fair value, as determined by Level 3 inputs, for the other liabilities using the Level 3 inputs for the six months ended June 30, 2026 as follows:</w:t>
      </w:r>
    </w:p>
    <w:tbl>
      <w:tblPr>
        <w:tblW w:w="4206" w:type="dxa"/>
        <w:jc w:val="left"/>
        <w:tblInd w:w="0" w:type="dxa"/>
        <w:tblLayout w:type="fixed"/>
        <w:tblCellMar>
          <w:top w:w="28" w:type="dxa"/>
          <w:left w:w="28" w:type="dxa"/>
          <w:bottom w:w="28" w:type="dxa"/>
          <w:right w:w="28" w:type="dxa"/>
        </w:tblCellMar>
      </w:tblPr>
      <w:tblGrid>
        <w:gridCol w:w="1155"/>
        <w:gridCol w:w="1018"/>
        <w:gridCol w:w="1022"/>
        <w:gridCol w:w="196"/>
        <w:gridCol w:w="661"/>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Accretion of liability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other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Stock issued for settlement of other liability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10,928</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 in fair value, as determined by Level 3 inputs, for the other liabilities using the Level 3 inputs for the six months ended June 30, 2025 as follows:</w:t>
      </w:r>
    </w:p>
    <w:tbl>
      <w:tblPr>
        <w:tblW w:w="4101" w:type="dxa"/>
        <w:jc w:val="left"/>
        <w:tblInd w:w="0" w:type="dxa"/>
        <w:tblLayout w:type="fixed"/>
        <w:tblCellMar>
          <w:top w:w="28" w:type="dxa"/>
          <w:left w:w="28" w:type="dxa"/>
          <w:bottom w:w="28" w:type="dxa"/>
          <w:right w:w="28" w:type="dxa"/>
        </w:tblCellMar>
      </w:tblPr>
      <w:tblGrid>
        <w:gridCol w:w="1155"/>
        <w:gridCol w:w="1018"/>
        <w:gridCol w:w="1022"/>
        <w:gridCol w:w="196"/>
        <w:gridCol w:w="556"/>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other liability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other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issued for settlement of other liability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currency translation adjustment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6,608 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20"/>
        <w:jc w:val="left"/>
        <w:rPr/>
      </w:pPr>
      <w:hyperlink w:anchor="ia205c5d90abd40f8965784bd2069137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Monte Carlo assumptions and inputs (which are Level 3 inputs) are as follows:</w:t>
      </w:r>
    </w:p>
    <w:tbl>
      <w:tblPr>
        <w:tblW w:w="7810" w:type="dxa"/>
        <w:jc w:val="left"/>
        <w:tblInd w:w="0" w:type="dxa"/>
        <w:tblLayout w:type="fixed"/>
        <w:tblCellMar>
          <w:top w:w="28" w:type="dxa"/>
          <w:left w:w="28" w:type="dxa"/>
          <w:bottom w:w="28" w:type="dxa"/>
          <w:right w:w="28" w:type="dxa"/>
        </w:tblCellMar>
      </w:tblPr>
      <w:tblGrid>
        <w:gridCol w:w="1409"/>
        <w:gridCol w:w="1241"/>
        <w:gridCol w:w="1249"/>
        <w:gridCol w:w="719"/>
        <w:gridCol w:w="719"/>
        <w:gridCol w:w="722"/>
        <w:gridCol w:w="109"/>
        <w:gridCol w:w="109"/>
        <w:gridCol w:w="109"/>
        <w:gridCol w:w="416"/>
        <w:gridCol w:w="416"/>
        <w:gridCol w:w="592"/>
      </w:tblGrid>
      <w:tr>
        <w:trPr/>
        <w:tc>
          <w:tcPr>
            <w:tcW w:w="140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605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Significant Input</w:t>
            </w:r>
          </w:p>
        </w:tc>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Weighted Average Input</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Input Range</w:t>
            </w:r>
          </w:p>
        </w:tc>
      </w:tr>
      <w:tr>
        <w:trPr/>
        <w:tc>
          <w:tcPr>
            <w:tcW w:w="3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 for credit risk and time value</w:t>
            </w:r>
          </w:p>
        </w:tc>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4.7% to 4.9%</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 for future profit after tax</w:t>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11.8% to 19.6%</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volatility of future annual profit after tax</w:t>
            </w:r>
          </w:p>
        </w:tc>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31.0% to 35.0%</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 Applicable to Future Annual EBITDA</w:t>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15.0% to 16.0%</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Volatility of Future Annual EBITDA</w:t>
            </w:r>
          </w:p>
        </w:tc>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32.0% to 33.0%</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Volatility of Future Annual Revenue</w:t>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9.7% to 10.1%</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 Applicable to Future Annual Revenue</w:t>
            </w:r>
          </w:p>
        </w:tc>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8.0% to 12.5%</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Forecasted growth rate</w:t>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(20.1)% to 31.6%</w:t>
            </w:r>
          </w:p>
        </w:tc>
      </w:tr>
    </w:tbl>
    <w:tbl>
      <w:tblPr>
        <w:tblW w:w="7690" w:type="dxa"/>
        <w:jc w:val="left"/>
        <w:tblInd w:w="0" w:type="dxa"/>
        <w:tblLayout w:type="fixed"/>
        <w:tblCellMar>
          <w:top w:w="28" w:type="dxa"/>
          <w:left w:w="28" w:type="dxa"/>
          <w:bottom w:w="28" w:type="dxa"/>
          <w:right w:w="28" w:type="dxa"/>
        </w:tblCellMar>
      </w:tblPr>
      <w:tblGrid>
        <w:gridCol w:w="1409"/>
        <w:gridCol w:w="1241"/>
        <w:gridCol w:w="1249"/>
        <w:gridCol w:w="719"/>
        <w:gridCol w:w="719"/>
        <w:gridCol w:w="722"/>
        <w:gridCol w:w="109"/>
        <w:gridCol w:w="109"/>
        <w:gridCol w:w="109"/>
        <w:gridCol w:w="381"/>
        <w:gridCol w:w="381"/>
        <w:gridCol w:w="542"/>
      </w:tblGrid>
      <w:tr>
        <w:trPr/>
        <w:tc>
          <w:tcPr>
            <w:tcW w:w="140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605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Significant Input</w:t>
            </w:r>
          </w:p>
        </w:tc>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Weighted Average Input</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Input Range</w:t>
            </w:r>
          </w:p>
        </w:tc>
      </w:tr>
      <w:tr>
        <w:trPr/>
        <w:tc>
          <w:tcPr>
            <w:tcW w:w="3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 for credit risk and time value</w:t>
            </w:r>
          </w:p>
        </w:tc>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5.2% to 5.9%</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 for future profit after tax</w:t>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11.7% to 21.4%</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volatility of future annual profit after tax</w:t>
            </w:r>
          </w:p>
        </w:tc>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30.0% to 34.0%</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 Applicable to Future Annual EBITDA</w:t>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14.9% to 16.2%</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Volatility of Future Annual EBITDA</w:t>
            </w:r>
          </w:p>
        </w:tc>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30.0% to 35.0%</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Forecasted growth rate</w:t>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3.9% to 55.6%</w:t>
            </w:r>
          </w:p>
        </w:tc>
      </w:tr>
    </w:tbl>
    <w:p>
      <w:pPr>
        <w:pStyle w:val="TextBody"/>
        <w:bidi w:val="0"/>
        <w:spacing w:lineRule="auto" w:line="288" w:before="0" w:after="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weighted average is calculated using the estimated fair values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Financial Instruments Not Measured at Fair Value on a Recurring Basis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Notes Payable are subject to a variable interest rate. As a result, the carrying amount of these instruments closely approximates their fair value.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Non-financial Assets and Liabilities Measured at Fair Value on a Nonrecurring Basis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Certain non-financial assets are measured at fair value on a nonrecurring basis, primarily goodwill and intangible assets, which are classified as Level 3 fair value measurements, and right-of-use lease assets, which are classified as Level 2 fair value measurements. These assets are not measured and adjusted to fair value on an ongoing basis but are subject to periodic evaluations for potential impairment.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left"/>
        <w:rPr>
          <w:rFonts w:ascii="Times New Roman;serif" w:hAnsi="Times New Roman;serif"/>
          <w:b/>
          <w:color w:val="000000"/>
          <w:sz w:val="20"/>
        </w:rPr>
      </w:pPr>
      <w:r>
        <w:rPr>
          <w:rFonts w:ascii="Times New Roman;serif" w:hAnsi="Times New Roman;serif"/>
          <w:b/>
          <w:color w:val="000000"/>
          <w:sz w:val="20"/>
        </w:rPr>
        <w:t>NOTE 10. CONTRACT BALANCES AND ALLOWANCE FOR EXPECTED CREDIT LOSSES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accounts and unbilled receivables, contract receivables and contract liabilities from contracts with customers as of:</w:t>
      </w:r>
    </w:p>
    <w:tbl>
      <w:tblPr>
        <w:tblW w:w="6207" w:type="dxa"/>
        <w:jc w:val="left"/>
        <w:tblInd w:w="0" w:type="dxa"/>
        <w:tblLayout w:type="fixed"/>
        <w:tblCellMar>
          <w:top w:w="28" w:type="dxa"/>
          <w:left w:w="28" w:type="dxa"/>
          <w:bottom w:w="28" w:type="dxa"/>
          <w:right w:w="28" w:type="dxa"/>
        </w:tblCellMar>
      </w:tblPr>
      <w:tblGrid>
        <w:gridCol w:w="1150"/>
        <w:gridCol w:w="1012"/>
        <w:gridCol w:w="1018"/>
        <w:gridCol w:w="234"/>
        <w:gridCol w:w="791"/>
        <w:gridCol w:w="130"/>
        <w:gridCol w:w="109"/>
        <w:gridCol w:w="109"/>
        <w:gridCol w:w="109"/>
        <w:gridCol w:w="304"/>
        <w:gridCol w:w="1002"/>
        <w:gridCol w:w="239"/>
      </w:tblGrid>
      <w:tr>
        <w:trPr/>
        <w:tc>
          <w:tcPr>
            <w:tcW w:w="115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receivable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32,632</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23,831 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receivables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1,185</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expected credit losses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(2,912)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(2,492)</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contract receivables, net</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30,905</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21,851 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Contract Liabilities / (Deferred revenue)</w:t>
            </w:r>
          </w:p>
        </w:tc>
        <w:tc>
          <w:tcPr>
            <w:tcW w:w="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(6,245)</w:t>
            </w:r>
          </w:p>
        </w:tc>
        <w:tc>
          <w:tcPr>
            <w:tcW w:w="1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(3,310)</w:t>
            </w:r>
          </w:p>
        </w:tc>
        <w:tc>
          <w:tcPr>
            <w:tcW w:w="2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Contract liabilities represent advance consideration received from customers under the terms of the Company's contracts, primarily related to retainer fees and reimbursements of third-party expenses. These amounts are generally recognized as revenue shortly after billing, as the related services are performed or expenses are incurred. Deferred revenue totaled $6.2 million as of June 30, 2026, and $3.3 million as of December 31, 2025. The Company expects that these amounts will be recognized as revenue within one year of the respective balance sheet 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20"/>
        <w:jc w:val="left"/>
        <w:rPr/>
      </w:pPr>
      <w:hyperlink w:anchor="ia205c5d90abd40f8965784bd2069137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the activity in the allowance for expected credit losses as follows:</w:t>
      </w:r>
    </w:p>
    <w:tbl>
      <w:tblPr>
        <w:tblW w:w="3561" w:type="dxa"/>
        <w:jc w:val="left"/>
        <w:tblInd w:w="0" w:type="dxa"/>
        <w:tblLayout w:type="fixed"/>
        <w:tblCellMar>
          <w:top w:w="28" w:type="dxa"/>
          <w:left w:w="28" w:type="dxa"/>
          <w:bottom w:w="28" w:type="dxa"/>
          <w:right w:w="28" w:type="dxa"/>
        </w:tblCellMar>
      </w:tblPr>
      <w:tblGrid>
        <w:gridCol w:w="956"/>
        <w:gridCol w:w="841"/>
        <w:gridCol w:w="843"/>
        <w:gridCol w:w="196"/>
        <w:gridCol w:w="571"/>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1,102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expected credit losses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(Write-off)/Recoveries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2,492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expected credit losses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(Write-off)/Recoveries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2,912</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 and December 31, 2025</w:t>
      </w:r>
      <w:r>
        <w:rPr>
          <w:color w:val="000000"/>
          <w:shd w:fill="FFFFFF" w:val="clear"/>
        </w:rPr>
        <w:t xml:space="preserve"> </w:t>
      </w:r>
      <w:r>
        <w:rPr>
          <w:rFonts w:ascii="Times New Roman;serif" w:hAnsi="Times New Roman;serif"/>
          <w:b w:val="false"/>
          <w:color w:val="000000"/>
          <w:sz w:val="20"/>
          <w:shd w:fill="FFFFFF" w:val="clear"/>
        </w:rPr>
        <w:t xml:space="preserve">the balance of the allowance for credit losses approximated </w:t>
      </w:r>
      <w:r>
        <w:rPr>
          <w:rFonts w:ascii="Times New Roman;serif" w:hAnsi="Times New Roman;serif"/>
          <w:b w:val="false"/>
          <w:color w:val="000000"/>
          <w:sz w:val="20"/>
        </w:rPr>
        <w:t>$2.9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$2.5 million, respectively</w:t>
      </w:r>
      <w:r>
        <w:rPr>
          <w:rFonts w:ascii="Times New Roman;serif" w:hAnsi="Times New Roman;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11.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Westminster Policy Partners Limited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March 20, 2026, the Company entered into a binding agreement to acquire all of the outstanding shares of Westminster Policy Partners Limited ("WPI") from the owners of WPI (“WPI Sellers”), a leading UK public affairs and economics consultancy. The acquisition was completed on April 1, 2026, for a combination of cash and shares. At the closing of the transaction, the Company paid the WPI Sellers cash in the amount of £3.0 million, which was approximately $4.0 million and issued 46,937 shares of the Company's common stock to the WPI Sellers at an aggregate fair value of approximately $0.6 million. The purchase included WPI's cash balance of approximately £1.0 million, which was approximately $1.4 million, at closing.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there are additional contingent payments that the WPI Sellers can earn in the future depending on certain operating results that are achieved. The total additional amount of consideration that the Company could be required to pay to the WPI Sellers is £6.0 million. No contingent consideration was recorded in connection with the acquisition, as all future payments are linked to future employment. Although the Company remitted the funds to the Seller on March 31 2026, the effective date of the transaction was April 1, 2026.</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Reasons for the acquisition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acquired WPI to expand the Company's capabilities in economics-led analysis and research-driven advocacy communications, and evidence-based policy strategy. The acquisition of WPI will enhance the Company's footprint and depth in both the UK and Europe.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Accounting for the acquisition</w:t>
      </w:r>
    </w:p>
    <w:p>
      <w:pPr>
        <w:pStyle w:val="TextBody"/>
        <w:bidi w:val="0"/>
        <w:spacing w:lineRule="auto" w:line="288" w:before="0" w:after="180"/>
        <w:jc w:val="left"/>
        <w:rPr/>
      </w:pPr>
      <w:r>
        <w:rPr>
          <w:rFonts w:ascii="Times New Roman;serif" w:hAnsi="Times New Roman;serif"/>
          <w:b w:val="false"/>
          <w:color w:val="000000"/>
          <w:sz w:val="20"/>
        </w:rPr>
        <w:t xml:space="preserve">The acquisition of WPI was accounted for as a business combination and reflects the application of acquisition accounting in accordance with ASC 805, </w:t>
      </w:r>
      <w:r>
        <w:rPr>
          <w:rFonts w:ascii="Times New Roman;serif" w:hAnsi="Times New Roman;serif"/>
          <w:b w:val="false"/>
          <w:i/>
          <w:color w:val="000000"/>
          <w:sz w:val="20"/>
        </w:rPr>
        <w:t xml:space="preserve">Business Combinations </w:t>
      </w:r>
      <w:r>
        <w:rPr>
          <w:rFonts w:ascii="Times New Roman;serif" w:hAnsi="Times New Roman;serif"/>
          <w:b w:val="false"/>
          <w:color w:val="000000"/>
          <w:sz w:val="20"/>
        </w:rPr>
        <w:t>("ASC 805"). The acquired assets, including identifiable intangible assets and liabilities assumed, have been recorded at their estimated fair values.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Purchase consideration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certain consideration provided to the WPI Sellers does not qualify as purchase consideration in accordance with the guidance of ASC 805. The Company determined that the purchase consideration consists of the amount of cash and share payments owed to WPI Sellers that are not subject to a vesting or claw back provision that is directly linked to the continued employment of the WPI Sellers. The total purchase consideration consisted of a cash payment of approximately $2.0 million.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Preliminary Purchase price allocation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purchase price allocation is preliminary and subject to change during its measurement period. The Company has not yet completed its evaluation and determination of (i) the acquired net working capital balance, and (ii) the final assessment of deferred tax assets. The adjustments will be recorded as soon as practical and within the measurement period. Although not expected to be significant, the adjustments may result in a change in the acquired goodwill.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20"/>
        <w:jc w:val="left"/>
        <w:rPr/>
      </w:pPr>
      <w:hyperlink w:anchor="ia205c5d90abd40f8965784bd2069137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preliminary allocation of the purchase consideration resulted in the following amounts being allocated to the assets acquired and liabilities assumed as of the purchase date April 1, 2026, based on their respective estimated fair values is summarized below:</w:t>
      </w:r>
    </w:p>
    <w:tbl>
      <w:tblPr>
        <w:tblW w:w="3875" w:type="dxa"/>
        <w:jc w:val="left"/>
        <w:tblInd w:w="0" w:type="dxa"/>
        <w:tblLayout w:type="fixed"/>
        <w:tblCellMar>
          <w:top w:w="28" w:type="dxa"/>
          <w:left w:w="28" w:type="dxa"/>
          <w:bottom w:w="28" w:type="dxa"/>
          <w:right w:w="28" w:type="dxa"/>
        </w:tblCellMar>
      </w:tblPr>
      <w:tblGrid>
        <w:gridCol w:w="1070"/>
        <w:gridCol w:w="938"/>
        <w:gridCol w:w="946"/>
        <w:gridCol w:w="196"/>
        <w:gridCol w:w="571"/>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acquired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receivable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Customer relationships </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Tradename </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Noncompete agreements </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preliminary purchase price</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1,992</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fair value of the identified definite-lived intangible assets was as follows:</w:t>
      </w:r>
    </w:p>
    <w:tbl>
      <w:tblPr>
        <w:tblW w:w="5559" w:type="dxa"/>
        <w:jc w:val="left"/>
        <w:tblInd w:w="0" w:type="dxa"/>
        <w:tblLayout w:type="fixed"/>
        <w:tblCellMar>
          <w:top w:w="28" w:type="dxa"/>
          <w:left w:w="28" w:type="dxa"/>
          <w:bottom w:w="28" w:type="dxa"/>
          <w:right w:w="28" w:type="dxa"/>
        </w:tblCellMar>
      </w:tblPr>
      <w:tblGrid>
        <w:gridCol w:w="673"/>
        <w:gridCol w:w="592"/>
        <w:gridCol w:w="594"/>
        <w:gridCol w:w="109"/>
        <w:gridCol w:w="109"/>
        <w:gridCol w:w="109"/>
        <w:gridCol w:w="749"/>
        <w:gridCol w:w="749"/>
        <w:gridCol w:w="752"/>
        <w:gridCol w:w="109"/>
        <w:gridCol w:w="109"/>
        <w:gridCol w:w="109"/>
        <w:gridCol w:w="202"/>
        <w:gridCol w:w="434"/>
        <w:gridCol w:w="160"/>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Definite-lived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Noncompete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fair value of noncompete agreements was determined based on the difference between the projected cash flows of the business assuming the agreement is in place, and an alternative cash flow projection which assumes an adverse impact resulting from competition. The difference between these two projections effectively represents the “cost” of competition from the perspective of the acquirer. The fair value of the trade names was determined using the relief from royalty method. The fair value of customer relationships was determined using the multi-period excess earnings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TrailRunner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January 24, 2025, the Company entered into a binding agreement ("TrailRunner Agreement") to acquire TrailRunner International LLC and its wholly-owned subsidiaries (collectively, the “TrailRunner Seller” or "TrailRunner"), a Texas headquartered global strategic communications advisory firm. At the closing of the transaction, the Company agreed to pay the TrailRunner Seller cash in the amount of approximately $28.2 million and issue 593,228 shares of the Company’s common stock to the TrailRunner Seller at an aggregate fair value of approximately $5.2 million.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there are additional contingent payments that the TrailRunner Seller can earn in the future depending on certain operating results that are achieved. The total additional amount of consideration that the Company could be required to pay to the TrailRunner Seller is $37.0 million. Although the Company remitted the funds to the TrailRunner Seller on March 31 2025, the effective date of the transaction was April 1, 2025.</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Reasons for the acquisition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acquired TrailRunner to expand the Company's ability to provide a distinct suite of corporate communication capabilities and enhance its global footprint. TrailRunner has eight office locations across the United States, United Kingdom, Middle East, and Asia.</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Accounting for the acquisition</w:t>
      </w:r>
    </w:p>
    <w:p>
      <w:pPr>
        <w:pStyle w:val="TextBody"/>
        <w:bidi w:val="0"/>
        <w:spacing w:lineRule="auto" w:line="288" w:before="0" w:after="180"/>
        <w:jc w:val="left"/>
        <w:rPr/>
      </w:pPr>
      <w:r>
        <w:rPr>
          <w:rFonts w:ascii="Times New Roman;serif" w:hAnsi="Times New Roman;serif"/>
          <w:b w:val="false"/>
          <w:color w:val="000000"/>
          <w:sz w:val="20"/>
        </w:rPr>
        <w:t xml:space="preserve">The acquisition of TrailRunner was accounted for as a business combination and reflects the application of acquisition accounting in accordance with ASC 805, </w:t>
      </w:r>
      <w:r>
        <w:rPr>
          <w:rFonts w:ascii="Times New Roman;serif" w:hAnsi="Times New Roman;serif"/>
          <w:b w:val="false"/>
          <w:i/>
          <w:color w:val="000000"/>
          <w:sz w:val="20"/>
        </w:rPr>
        <w:t xml:space="preserve">Business Combinations </w:t>
      </w:r>
      <w:r>
        <w:rPr>
          <w:rFonts w:ascii="Times New Roman;serif" w:hAnsi="Times New Roman;serif"/>
          <w:b w:val="false"/>
          <w:color w:val="000000"/>
          <w:sz w:val="20"/>
        </w:rPr>
        <w:t>("ASC 805"). The acquired assets, including identifiable intangible assets and liabilities assumed, have been recorded at their estimated fair values.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Purchase consideration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20"/>
        <w:jc w:val="left"/>
        <w:rPr/>
      </w:pPr>
      <w:hyperlink w:anchor="ia205c5d90abd40f8965784bd2069137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certain consideration provided to TrailRunner does not qualify as purchase consideration in accordance with the guidance of ASC 805. The Company determined that the purchase consideration consists of the amount of cash and share payments owed to TrailRunner that are not subject to a vesting or claw back provision that is directly linked to the continued employment of the TrailRunner Seller. The total purchase consideration consisted of the following amounts:</w:t>
      </w:r>
    </w:p>
    <w:tbl>
      <w:tblPr>
        <w:tblW w:w="2706" w:type="dxa"/>
        <w:jc w:val="left"/>
        <w:tblInd w:w="0" w:type="dxa"/>
        <w:tblLayout w:type="fixed"/>
        <w:tblCellMar>
          <w:top w:w="28" w:type="dxa"/>
          <w:left w:w="28" w:type="dxa"/>
          <w:bottom w:w="28" w:type="dxa"/>
          <w:right w:w="28" w:type="dxa"/>
        </w:tblCellMar>
      </w:tblPr>
      <w:tblGrid>
        <w:gridCol w:w="613"/>
        <w:gridCol w:w="539"/>
        <w:gridCol w:w="543"/>
        <w:gridCol w:w="196"/>
        <w:gridCol w:w="661"/>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19,797</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Purchase price allocation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recognized a bargain purchase gain of $1.3 million in connection with the acquisition of TrailRunner, representing the excess of the fair value of identifiable net assets acquired over the aggregate amount transferred. In accordance with ASC 805 - business combinations, the Company reassessed the identification and measurement of the assets acquired and liabilities assumed prior to recognizing the gain. The primary factors that contributed to the gain on bargain purchase recognized from the TrailRunner acquisition include the requirement for the key employees of TrailRunner to remain employees of the Company for a significant period of time. The purchase price allocation was finalized as of December 31, 2025.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allocation of the purchase consideration resulted in the following amounts being allocated to the assets acquired and liabilities assumed as of the purchase date of April 1, 2025, based on their respective estimated fair values is summarized below:</w:t>
      </w:r>
    </w:p>
    <w:tbl>
      <w:tblPr>
        <w:tblW w:w="3920" w:type="dxa"/>
        <w:jc w:val="left"/>
        <w:tblInd w:w="0" w:type="dxa"/>
        <w:tblLayout w:type="fixed"/>
        <w:tblCellMar>
          <w:top w:w="28" w:type="dxa"/>
          <w:left w:w="28" w:type="dxa"/>
          <w:bottom w:w="28" w:type="dxa"/>
          <w:right w:w="28" w:type="dxa"/>
        </w:tblCellMar>
      </w:tblPr>
      <w:tblGrid>
        <w:gridCol w:w="1086"/>
        <w:gridCol w:w="951"/>
        <w:gridCol w:w="962"/>
        <w:gridCol w:w="196"/>
        <w:gridCol w:w="571"/>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acquired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Contract receivable </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current assets </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Property and equipment </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Right of use asset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Customer relationships </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Tradename </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Noncompete agreements </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tax asset </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Accounts payable and accrued expenses </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assets acquired </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estimated purchase price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Gain on bargain purchase</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1,333</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fair value of the identified definite-lived intangible assets was as follows:</w:t>
      </w:r>
    </w:p>
    <w:tbl>
      <w:tblPr>
        <w:tblW w:w="5669" w:type="dxa"/>
        <w:jc w:val="left"/>
        <w:tblInd w:w="0" w:type="dxa"/>
        <w:tblLayout w:type="fixed"/>
        <w:tblCellMar>
          <w:top w:w="28" w:type="dxa"/>
          <w:left w:w="28" w:type="dxa"/>
          <w:bottom w:w="28" w:type="dxa"/>
          <w:right w:w="28" w:type="dxa"/>
        </w:tblCellMar>
      </w:tblPr>
      <w:tblGrid>
        <w:gridCol w:w="673"/>
        <w:gridCol w:w="592"/>
        <w:gridCol w:w="594"/>
        <w:gridCol w:w="109"/>
        <w:gridCol w:w="109"/>
        <w:gridCol w:w="109"/>
        <w:gridCol w:w="749"/>
        <w:gridCol w:w="749"/>
        <w:gridCol w:w="752"/>
        <w:gridCol w:w="109"/>
        <w:gridCol w:w="109"/>
        <w:gridCol w:w="109"/>
        <w:gridCol w:w="196"/>
        <w:gridCol w:w="556"/>
        <w:gridCol w:w="154"/>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Definite-lived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Noncompete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customer relationships was determined using the income approach, which requires management to estimate a number of factors for each reporting unit, including projected future operating results and discount rates. The fair value of the trade names was determined using the relief from royalty method. The fair value of noncompete agreements was determined using an income approach method, which requires management to estimate a number of factors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20"/>
        <w:jc w:val="left"/>
        <w:rPr/>
      </w:pPr>
      <w:hyperlink w:anchor="ia205c5d90abd40f8965784bd2069137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expected future cash flows of TrailRunner and the potential impact and probability of competition, assuming such noncompete agreements were not in place.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NOTE 12. O</w:t>
      </w:r>
      <w:r>
        <w:rPr>
          <w:rFonts w:ascii="Times New Roman;serif" w:hAnsi="Times New Roman;serif"/>
          <w:b/>
          <w:color w:val="000000"/>
          <w:sz w:val="16"/>
        </w:rPr>
        <w:t>MNIBUS</w:t>
      </w:r>
      <w:r>
        <w:rPr>
          <w:color w:val="000000"/>
        </w:rPr>
        <w:t xml:space="preserve"> </w:t>
      </w:r>
      <w:r>
        <w:rPr>
          <w:rFonts w:ascii="Times New Roman;serif" w:hAnsi="Times New Roman;serif"/>
          <w:b/>
          <w:color w:val="000000"/>
          <w:sz w:val="20"/>
        </w:rPr>
        <w:t>I</w:t>
      </w:r>
      <w:r>
        <w:rPr>
          <w:rFonts w:ascii="Times New Roman;serif" w:hAnsi="Times New Roman;serif"/>
          <w:b/>
          <w:color w:val="000000"/>
          <w:sz w:val="16"/>
        </w:rPr>
        <w:t xml:space="preserve">NCENTIVE </w:t>
      </w:r>
      <w:r>
        <w:rPr>
          <w:rFonts w:ascii="Times New Roman;serif" w:hAnsi="Times New Roman;serif"/>
          <w:b/>
          <w:color w:val="000000"/>
          <w:sz w:val="20"/>
        </w:rPr>
        <w:t>P</w:t>
      </w:r>
      <w:r>
        <w:rPr>
          <w:rFonts w:ascii="Times New Roman;serif" w:hAnsi="Times New Roman;serif"/>
          <w:b/>
          <w:color w:val="000000"/>
          <w:sz w:val="16"/>
        </w:rPr>
        <w:t>LAN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2021, we adopted the Public Policy Holding Company, Inc. 2021 Omnibus Incentive Plan (the "Omnibus Incentive Plan"), under which Options (both nonqualified options, and incentive stock options), stock appreciation rights, restricted stock units, restricted stock, unrestricted stock, cash-based awards and dividend equivalent rights may be issued. On September 29, 2025, our board of directors approved an amendment (the "2025 Amendment") to the Omnibus Incentive Plan, which became effective on January 26,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total amount of shares authorized by the Board of Directors under the Omnibus Plan was 5,719,005, with a total of 1,615,112 shares available for issuance. During the six months ended June 30, 2026 and 2025, the Company granted 43,987 and 62,588 Options to employees, respectively. During the same periods, the Company granted 669,879 and 498,532 Restricted Stock Units ("RSUs"), respectively, as well as 302,080 and 195,588 Restricted Stock Awards ("RSAs"). The stock options have a contractual term of ten years and vest three years after their issuance. The RSUs vest over a three-year period with one-third vesting each year after the grant date. The amortization of the fair value of share-based awards is recorded as an expense in long-term incentive program charges in the statement of operations.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total long-term incentive program expense, net of forfeitures, is detailed in the following table:</w:t>
      </w:r>
    </w:p>
    <w:tbl>
      <w:tblPr>
        <w:tblW w:w="5618" w:type="dxa"/>
        <w:jc w:val="left"/>
        <w:tblInd w:w="0" w:type="dxa"/>
        <w:tblLayout w:type="fixed"/>
        <w:tblCellMar>
          <w:top w:w="28" w:type="dxa"/>
          <w:left w:w="28" w:type="dxa"/>
          <w:bottom w:w="28" w:type="dxa"/>
          <w:right w:w="28" w:type="dxa"/>
        </w:tblCellMar>
      </w:tblPr>
      <w:tblGrid>
        <w:gridCol w:w="250"/>
        <w:gridCol w:w="220"/>
        <w:gridCol w:w="221"/>
        <w:gridCol w:w="226"/>
        <w:gridCol w:w="660"/>
        <w:gridCol w:w="126"/>
        <w:gridCol w:w="126"/>
        <w:gridCol w:w="126"/>
        <w:gridCol w:w="126"/>
        <w:gridCol w:w="226"/>
        <w:gridCol w:w="642"/>
        <w:gridCol w:w="126"/>
        <w:gridCol w:w="109"/>
        <w:gridCol w:w="109"/>
        <w:gridCol w:w="109"/>
        <w:gridCol w:w="206"/>
        <w:gridCol w:w="601"/>
        <w:gridCol w:w="114"/>
        <w:gridCol w:w="114"/>
        <w:gridCol w:w="114"/>
        <w:gridCol w:w="114"/>
        <w:gridCol w:w="206"/>
        <w:gridCol w:w="585"/>
        <w:gridCol w:w="162"/>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Options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1,295</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2,178</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RSAs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708</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1,316</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SARs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(948)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(1,515)</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1,070</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2,033</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table below represents the total expense relating to the long-term incentive program recognized in the consolidated statements of operations and comprehensive loss as follows:</w:t>
      </w:r>
    </w:p>
    <w:tbl>
      <w:tblPr>
        <w:tblW w:w="8270" w:type="dxa"/>
        <w:jc w:val="left"/>
        <w:tblInd w:w="0" w:type="dxa"/>
        <w:tblLayout w:type="fixed"/>
        <w:tblCellMar>
          <w:top w:w="28" w:type="dxa"/>
          <w:left w:w="28" w:type="dxa"/>
          <w:bottom w:w="28" w:type="dxa"/>
          <w:right w:w="28" w:type="dxa"/>
        </w:tblCellMar>
      </w:tblPr>
      <w:tblGrid>
        <w:gridCol w:w="1090"/>
        <w:gridCol w:w="960"/>
        <w:gridCol w:w="964"/>
        <w:gridCol w:w="244"/>
        <w:gridCol w:w="731"/>
        <w:gridCol w:w="126"/>
        <w:gridCol w:w="126"/>
        <w:gridCol w:w="126"/>
        <w:gridCol w:w="126"/>
        <w:gridCol w:w="244"/>
        <w:gridCol w:w="713"/>
        <w:gridCol w:w="126"/>
        <w:gridCol w:w="109"/>
        <w:gridCol w:w="109"/>
        <w:gridCol w:w="109"/>
        <w:gridCol w:w="221"/>
        <w:gridCol w:w="662"/>
        <w:gridCol w:w="114"/>
        <w:gridCol w:w="114"/>
        <w:gridCol w:w="114"/>
        <w:gridCol w:w="114"/>
        <w:gridCol w:w="221"/>
        <w:gridCol w:w="646"/>
        <w:gridCol w:w="161"/>
      </w:tblGrid>
      <w:tr>
        <w:trPr/>
        <w:tc>
          <w:tcPr>
            <w:tcW w:w="109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315</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1,031</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755</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1,002</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1,070</w:t>
            </w:r>
            <w:r>
              <w:rPr>
                <w:color w:val="000000"/>
              </w:rPr>
              <w:t> </w:t>
            </w:r>
          </w:p>
        </w:tc>
        <w:tc>
          <w:tcPr>
            <w:tcW w:w="1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2,033</w:t>
            </w:r>
            <w:r>
              <w:rPr>
                <w:color w:val="000000"/>
              </w:rPr>
              <w:t> </w:t>
            </w:r>
          </w:p>
        </w:tc>
        <w:tc>
          <w:tcPr>
            <w:tcW w:w="1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total unrecognized compensation expense and the applicable weighted average period for that expense to be recognized is as follows:</w:t>
      </w:r>
    </w:p>
    <w:tbl>
      <w:tblPr>
        <w:tblW w:w="5038" w:type="dxa"/>
        <w:jc w:val="left"/>
        <w:tblInd w:w="0" w:type="dxa"/>
        <w:tblLayout w:type="fixed"/>
        <w:tblCellMar>
          <w:top w:w="28" w:type="dxa"/>
          <w:left w:w="28" w:type="dxa"/>
          <w:bottom w:w="28" w:type="dxa"/>
          <w:right w:w="28" w:type="dxa"/>
        </w:tblCellMar>
      </w:tblPr>
      <w:tblGrid>
        <w:gridCol w:w="250"/>
        <w:gridCol w:w="220"/>
        <w:gridCol w:w="221"/>
        <w:gridCol w:w="428"/>
        <w:gridCol w:w="1446"/>
        <w:gridCol w:w="241"/>
        <w:gridCol w:w="109"/>
        <w:gridCol w:w="109"/>
        <w:gridCol w:w="109"/>
        <w:gridCol w:w="558"/>
        <w:gridCol w:w="558"/>
        <w:gridCol w:w="789"/>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Unrecognized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Weighted average period</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Options</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270</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0.4 years</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w:t>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9,931</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4.9 years</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RSAs</w:t>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3,805</w:t>
            </w: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 years</w:t>
            </w:r>
          </w:p>
        </w:tc>
      </w:tr>
      <w:tr>
        <w:trPr/>
        <w:tc>
          <w:tcPr>
            <w:tcW w:w="69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w:t>
            </w:r>
          </w:p>
        </w:tc>
        <w:tc>
          <w:tcPr>
            <w:tcW w:w="4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4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14,006</w:t>
            </w:r>
            <w:r>
              <w:rPr>
                <w:color w:val="000000"/>
              </w:rPr>
              <w:t> </w:t>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20"/>
        <w:jc w:val="left"/>
        <w:rPr/>
      </w:pPr>
      <w:hyperlink w:anchor="ia205c5d90abd40f8965784bd2069137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Options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summarizes the stock option activity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874"/>
        <w:gridCol w:w="717"/>
        <w:gridCol w:w="721"/>
        <w:gridCol w:w="340"/>
        <w:gridCol w:w="340"/>
        <w:gridCol w:w="341"/>
        <w:gridCol w:w="109"/>
        <w:gridCol w:w="109"/>
        <w:gridCol w:w="109"/>
        <w:gridCol w:w="438"/>
        <w:gridCol w:w="1277"/>
        <w:gridCol w:w="243"/>
        <w:gridCol w:w="109"/>
        <w:gridCol w:w="109"/>
        <w:gridCol w:w="109"/>
        <w:gridCol w:w="452"/>
        <w:gridCol w:w="1110"/>
        <w:gridCol w:w="251"/>
        <w:gridCol w:w="109"/>
        <w:gridCol w:w="109"/>
        <w:gridCol w:w="109"/>
        <w:gridCol w:w="618"/>
        <w:gridCol w:w="618"/>
        <w:gridCol w:w="884"/>
      </w:tblGrid>
      <w:tr>
        <w:trPr/>
        <w:tc>
          <w:tcPr>
            <w:tcW w:w="87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Weighted Average Exercise Price- (USD)</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Weighted Average Exercise Price-(GBP)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Weighted Average Contractual Term (in years)</w:t>
            </w:r>
          </w:p>
        </w:tc>
      </w:tr>
      <w:tr>
        <w:trPr/>
        <w:tc>
          <w:tcPr>
            <w:tcW w:w="23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December 31, 2025</w:t>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11.33 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r>
      <w:tr>
        <w:trPr/>
        <w:tc>
          <w:tcPr>
            <w:tcW w:w="23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Cancelled/Forfeited</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Outstanding as of June 30, 2026</w:t>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734,911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11.21</w:t>
            </w: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8.46</w:t>
            </w: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6.7</w:t>
            </w:r>
          </w:p>
        </w:tc>
      </w:tr>
      <w:tr>
        <w:trPr/>
        <w:tc>
          <w:tcPr>
            <w:tcW w:w="23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Exercisable as of June 30, 2026</w:t>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598,016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10.74</w:t>
            </w: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8.10</w:t>
            </w:r>
            <w:r>
              <w:rPr>
                <w:color w:val="000000"/>
              </w:rPr>
              <w:t>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5.3</w:t>
            </w:r>
          </w:p>
        </w:tc>
      </w:tr>
      <w:tr>
        <w:trPr/>
        <w:tc>
          <w:tcPr>
            <w:tcW w:w="231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Vested and expected to vest as of June 30, 2026</w:t>
            </w:r>
          </w:p>
        </w:tc>
        <w:tc>
          <w:tcPr>
            <w:tcW w:w="102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734,911</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11.21</w:t>
            </w:r>
            <w:r>
              <w:rPr>
                <w:color w:val="000000"/>
              </w:rPr>
              <w:t> </w:t>
            </w:r>
          </w:p>
        </w:tc>
        <w:tc>
          <w:tcPr>
            <w:tcW w:w="2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8.46</w:t>
            </w:r>
            <w:r>
              <w:rPr>
                <w:color w:val="000000"/>
              </w:rPr>
              <w:t> </w:t>
            </w:r>
          </w:p>
        </w:tc>
        <w:tc>
          <w:tcPr>
            <w:tcW w:w="2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6.7</w:t>
            </w:r>
          </w:p>
        </w:tc>
      </w:tr>
    </w:tbl>
    <w:tbl>
      <w:tblPr>
        <w:tblW w:w="10205" w:type="dxa"/>
        <w:jc w:val="left"/>
        <w:tblInd w:w="0" w:type="dxa"/>
        <w:tblLayout w:type="fixed"/>
        <w:tblCellMar>
          <w:top w:w="28" w:type="dxa"/>
          <w:left w:w="28" w:type="dxa"/>
          <w:bottom w:w="28" w:type="dxa"/>
          <w:right w:w="28" w:type="dxa"/>
        </w:tblCellMar>
      </w:tblPr>
      <w:tblGrid>
        <w:gridCol w:w="796"/>
        <w:gridCol w:w="699"/>
        <w:gridCol w:w="703"/>
        <w:gridCol w:w="344"/>
        <w:gridCol w:w="344"/>
        <w:gridCol w:w="345"/>
        <w:gridCol w:w="109"/>
        <w:gridCol w:w="109"/>
        <w:gridCol w:w="109"/>
        <w:gridCol w:w="452"/>
        <w:gridCol w:w="1284"/>
        <w:gridCol w:w="251"/>
        <w:gridCol w:w="109"/>
        <w:gridCol w:w="109"/>
        <w:gridCol w:w="109"/>
        <w:gridCol w:w="468"/>
        <w:gridCol w:w="1116"/>
        <w:gridCol w:w="262"/>
        <w:gridCol w:w="109"/>
        <w:gridCol w:w="109"/>
        <w:gridCol w:w="109"/>
        <w:gridCol w:w="630"/>
        <w:gridCol w:w="630"/>
        <w:gridCol w:w="900"/>
      </w:tblGrid>
      <w:tr>
        <w:trPr/>
        <w:tc>
          <w:tcPr>
            <w:tcW w:w="7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Weighted Average Exercise Price- (USD)</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Weighted Average Exercise Price-(GBP)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Weighted Average Contractual Term (in years)</w:t>
            </w:r>
          </w:p>
        </w:tc>
      </w:tr>
      <w:tr>
        <w:trPr/>
        <w:tc>
          <w:tcPr>
            <w:tcW w:w="21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December 31, 2024</w:t>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676,709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8.60 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r>
      <w:tr>
        <w:trPr/>
        <w:tc>
          <w:tcPr>
            <w:tcW w:w="2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62,588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1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Cancelled/Forfeited</w:t>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June 30, 2025</w:t>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715,400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8.60 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r>
      <w:tr>
        <w:trPr/>
        <w:tc>
          <w:tcPr>
            <w:tcW w:w="2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Exercisable as of June 30, 2025</w:t>
            </w:r>
          </w:p>
        </w:tc>
        <w:tc>
          <w:tcPr>
            <w:tcW w:w="10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433,392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12.15 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8.85 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19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 and expected to vest as of June 30, 2025</w:t>
            </w:r>
          </w:p>
        </w:tc>
        <w:tc>
          <w:tcPr>
            <w:tcW w:w="103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715,400</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11.80 </w:t>
            </w:r>
          </w:p>
        </w:tc>
        <w:tc>
          <w:tcPr>
            <w:tcW w:w="2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8.60 </w:t>
            </w:r>
          </w:p>
        </w:tc>
        <w:tc>
          <w:tcPr>
            <w:tcW w:w="2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r>
    </w:tbl>
    <w:p>
      <w:pPr>
        <w:pStyle w:val="TextBody"/>
        <w:bidi w:val="0"/>
        <w:spacing w:lineRule="auto" w:line="288" w:before="0" w:after="180"/>
        <w:jc w:val="left"/>
        <w:rPr/>
      </w:pPr>
      <w:r>
        <w:rPr>
          <w:rFonts w:ascii="Times New Roman;serif" w:hAnsi="Times New Roman;serif"/>
          <w:b w:val="false"/>
          <w:color w:val="000000"/>
          <w:sz w:val="10"/>
        </w:rPr>
        <w:t>(1)</w:t>
      </w:r>
      <w:r>
        <w:rPr>
          <w:rFonts w:ascii="Times New Roman;serif" w:hAnsi="Times New Roman;serif"/>
          <w:b w:val="false"/>
          <w:color w:val="000000"/>
          <w:sz w:val="16"/>
        </w:rPr>
        <w:t>The applicable exercise prices have been adjusted based on the applicable exchange rate of GBP to USD at the end of each period presented.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weighted average intrinsic value of stock options was zero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Restricted Stock Units ("RSUs")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Activity in the Company's non-vested RSUs was as follows for the three and six months ended June 30, 2026 and 2025, respectively:</w:t>
      </w:r>
    </w:p>
    <w:tbl>
      <w:tblPr>
        <w:tblW w:w="7496" w:type="dxa"/>
        <w:jc w:val="left"/>
        <w:tblInd w:w="0" w:type="dxa"/>
        <w:tblLayout w:type="fixed"/>
        <w:tblCellMar>
          <w:top w:w="28" w:type="dxa"/>
          <w:left w:w="28" w:type="dxa"/>
          <w:bottom w:w="28" w:type="dxa"/>
          <w:right w:w="28" w:type="dxa"/>
        </w:tblCellMar>
      </w:tblPr>
      <w:tblGrid>
        <w:gridCol w:w="984"/>
        <w:gridCol w:w="864"/>
        <w:gridCol w:w="867"/>
        <w:gridCol w:w="454"/>
        <w:gridCol w:w="454"/>
        <w:gridCol w:w="456"/>
        <w:gridCol w:w="109"/>
        <w:gridCol w:w="109"/>
        <w:gridCol w:w="109"/>
        <w:gridCol w:w="729"/>
        <w:gridCol w:w="1789"/>
        <w:gridCol w:w="572"/>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 Average Grant Date Fair Value</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as of December 31, 2025</w:t>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991,732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7.70 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669,879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9.10 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(435,839)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Cancelled/Forfeited</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8.69 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Nonvested as of June 30, 2026</w:t>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1,206,292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8.85</w:t>
            </w:r>
            <w:r>
              <w:rPr>
                <w:color w:val="000000"/>
              </w:rPr>
              <w:t>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as of December 31, 2024</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869,330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(285,804)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Cancelled/Forfeited</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7.60 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as of June 30, 2025</w:t>
            </w:r>
          </w:p>
        </w:tc>
        <w:tc>
          <w:tcPr>
            <w:tcW w:w="136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1,054,458</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5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20"/>
        <w:jc w:val="left"/>
        <w:rPr/>
      </w:pPr>
      <w:hyperlink w:anchor="ia205c5d90abd40f8965784bd2069137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Restricted Stock Awards ("RSAs")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Activity in the Company's non-vested RSAs was as follows:</w:t>
      </w:r>
    </w:p>
    <w:tbl>
      <w:tblPr>
        <w:tblW w:w="7496" w:type="dxa"/>
        <w:jc w:val="left"/>
        <w:tblInd w:w="0" w:type="dxa"/>
        <w:tblLayout w:type="fixed"/>
        <w:tblCellMar>
          <w:top w:w="28" w:type="dxa"/>
          <w:left w:w="28" w:type="dxa"/>
          <w:bottom w:w="28" w:type="dxa"/>
          <w:right w:w="28" w:type="dxa"/>
        </w:tblCellMar>
      </w:tblPr>
      <w:tblGrid>
        <w:gridCol w:w="984"/>
        <w:gridCol w:w="864"/>
        <w:gridCol w:w="867"/>
        <w:gridCol w:w="454"/>
        <w:gridCol w:w="454"/>
        <w:gridCol w:w="456"/>
        <w:gridCol w:w="109"/>
        <w:gridCol w:w="109"/>
        <w:gridCol w:w="109"/>
        <w:gridCol w:w="729"/>
        <w:gridCol w:w="1789"/>
        <w:gridCol w:w="572"/>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Number of RSAs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Weighted Average Grant Date Fair Value</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as of December 31, 2025</w:t>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302,080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10.45 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9.45 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Cancelled/Forfeited</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Nonvested as of June 30, 2026</w:t>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515,331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8.82</w:t>
            </w:r>
            <w:r>
              <w:rPr>
                <w:color w:val="000000"/>
              </w:rPr>
              <w:t>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as of December 31, 2024</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479,491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195,588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9.45 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Cancelled/Forfeited</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as of June 30, 2025</w:t>
            </w:r>
          </w:p>
        </w:tc>
        <w:tc>
          <w:tcPr>
            <w:tcW w:w="136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479,897</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5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Stock Appreciation Rights ("SARs")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SARs are not issued shares or committed shares to be issued and therefore do not count against the total number of shares that can be issued under the Omnibus Plan. Upon exercise of a SAR, the Company shall pay the grantee in cash an amount equal to the excess of the fair market value of a share of stock on the effective date of exercise in excess of the exercise price of the SAR. This cash settlement feature requires the SARs to be classified as a liability and remeasured at each reporting period. The SARs vest over a three-year period with one-third vesting each year after the grant date. The fair value of each SAR granted is estimated using a Black-Scholes option-pricing model and the fair value is adjusted at each reporting period. As of June 30, 2026 and December 31, 2025, the total liability recorded was $0.4 million and $2.0 million, respectively.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fair value of the SARs was calculated as follows as of:</w:t>
      </w:r>
    </w:p>
    <w:tbl>
      <w:tblPr>
        <w:tblW w:w="5846" w:type="dxa"/>
        <w:jc w:val="left"/>
        <w:tblInd w:w="0" w:type="dxa"/>
        <w:tblLayout w:type="fixed"/>
        <w:tblCellMar>
          <w:top w:w="28" w:type="dxa"/>
          <w:left w:w="28" w:type="dxa"/>
          <w:bottom w:w="28" w:type="dxa"/>
          <w:right w:w="28" w:type="dxa"/>
        </w:tblCellMar>
      </w:tblPr>
      <w:tblGrid>
        <w:gridCol w:w="1006"/>
        <w:gridCol w:w="882"/>
        <w:gridCol w:w="886"/>
        <w:gridCol w:w="256"/>
        <w:gridCol w:w="609"/>
        <w:gridCol w:w="335"/>
        <w:gridCol w:w="109"/>
        <w:gridCol w:w="109"/>
        <w:gridCol w:w="109"/>
        <w:gridCol w:w="314"/>
        <w:gridCol w:w="748"/>
        <w:gridCol w:w="483"/>
      </w:tblGrid>
      <w:tr>
        <w:trPr/>
        <w:tc>
          <w:tcPr>
            <w:tcW w:w="100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dividend yield</w:t>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stock price volatility</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w:t>
            </w:r>
          </w:p>
        </w:tc>
        <w:tc>
          <w:tcPr>
            <w:tcW w:w="3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4.1% to 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3.5% to 3.6%</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life of instrument (in years)</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1.4 to 2.8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1.9 to 3.3 years</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fair value per share</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Activity in the Company's SARs was as follows for the year ended June 30, 2026 and year ended December 31, 2025:</w:t>
      </w:r>
    </w:p>
    <w:tbl>
      <w:tblPr>
        <w:tblW w:w="7991" w:type="dxa"/>
        <w:jc w:val="left"/>
        <w:tblInd w:w="0" w:type="dxa"/>
        <w:tblLayout w:type="fixed"/>
        <w:tblCellMar>
          <w:top w:w="28" w:type="dxa"/>
          <w:left w:w="28" w:type="dxa"/>
          <w:bottom w:w="28" w:type="dxa"/>
          <w:right w:w="28" w:type="dxa"/>
        </w:tblCellMar>
      </w:tblPr>
      <w:tblGrid>
        <w:gridCol w:w="1353"/>
        <w:gridCol w:w="1187"/>
        <w:gridCol w:w="1195"/>
        <w:gridCol w:w="469"/>
        <w:gridCol w:w="469"/>
        <w:gridCol w:w="471"/>
        <w:gridCol w:w="109"/>
        <w:gridCol w:w="109"/>
        <w:gridCol w:w="109"/>
        <w:gridCol w:w="594"/>
        <w:gridCol w:w="1459"/>
        <w:gridCol w:w="467"/>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Weighted Average Exercise Price</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December 31, 2024</w:t>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8.05 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Cancelled/Forfeited</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8.98 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December 31, 2025</w:t>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311,000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8.97 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4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(8.85)</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Cancelled/Forfeited</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(8.83)</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Outstanding as of June 30, 2026</w:t>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271,000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8.79</w:t>
            </w:r>
            <w:r>
              <w:rPr>
                <w:color w:val="000000"/>
              </w:rPr>
              <w:t>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Exercisable as of June 30, 2026</w:t>
            </w:r>
          </w:p>
        </w:tc>
        <w:tc>
          <w:tcPr>
            <w:tcW w:w="14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269,333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8.84</w:t>
            </w:r>
            <w:r>
              <w:rPr>
                <w:color w:val="000000"/>
              </w:rPr>
              <w:t> </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Vested and expected to vest as of June 30, 2026</w:t>
            </w:r>
          </w:p>
        </w:tc>
        <w:tc>
          <w:tcPr>
            <w:tcW w:w="140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271,000</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4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8.79</w:t>
            </w:r>
            <w:r>
              <w:rPr>
                <w:color w:val="000000"/>
              </w:rPr>
              <w:t> </w:t>
            </w:r>
          </w:p>
        </w:tc>
        <w:tc>
          <w:tcPr>
            <w:tcW w:w="4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20"/>
        <w:jc w:val="left"/>
        <w:rPr/>
      </w:pPr>
      <w:hyperlink w:anchor="ia205c5d90abd40f8965784bd2069137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amount of the future expense for all SARs issued will depend upon the value of the Company's common stock and other factors at each future reporting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13. SUBSEQUENT EVENTS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July 1, 2026, the Company acquired Tancredi Intelligent Communication Ltd, a strategic communications and advisory firm headquartered in London. The acquisition was paid for through a combination of cash and shares.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August 1, 2026, the Company acquired The Advocacy Partners, one of Florida’s pre-eminent government relations firms. The acquisition was paid for through a combination of cash and shares.</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(Dollars in tables in millions,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This Quarterly Report on Form 10-Q contains forward-looking statements within the meaning of the federal securities laws. You can identify these statements by the use of forward-looking terminology such as “may,” “will,” “should,” “expect,” “anticipate,” “project,” “target,” “estimate,” “intend,” “continue” or “believe” or the negatives of, or other variations of, these terms or comparable terminology. These forward-looking statements include, but are not limited to, statements regarding: our core strategy; our ability to improve our content offerings and service; our future financial performance, including expectations regarding revenues, deferred revenue, operating income and margin, net income, expenses, and profitability; liquidity, including the sufficiency of our capital resources, cash requirements; net cash provided by (used in) operating activities, access to financing sources, and free cash flows; capital allocation strategies, including any stock repurchases or repurchase programs; stock price volatility; impact of foreign exchange rate fluctuations; impact of interest rate fluctuations; adequacy of existing facilities; future regulatory changes and their impact on our business; intellectual property; cybersecurity; price changes and testing; artificial intelligence (“AI”); acquisitions; actions by competitors; dividends; future contractual obligations, including unknown content obligations and timing of payments; our global content and marketing investments; tax expense; unrecognized tax benefits; deferred tax assets; tax deposits; resolutions of disputes and other proceedings; our ability to effectively manage change and growth; our company culture; and our ability to attract and retain qualified employees and key personnel. These forward-looking statements are subject to risks and uncertainties that could cause actual results and events to differ. A detailed discussion of these and other risks and uncertainties that could cause actual results and events to differ materially from such forward-looking statements is included throughout this filing and particularly in Part II, Item 1A: “Risk Factors” section set forth in this Quarterly Report on Form 10-Q. Given these risks and uncertainties, readers are cautioned not to place undue reliance on such forward-looking statements. All forward-looking statements included in this document are based on information available to us on the date hereof, and we assume no obligation to revise or publicly release any revision to any such forward-looking statement, except as may otherwise be required by law.</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Management’s Discussion and Analysis of Financial Condition and Results of Operations (“MD&amp;A”) summarizes the significant factors affecting the operating results, financial condition and liquidity, and cash flows of the Company as of and for the three and six months ended June 30, 2026, and 2025.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The unaudited consolidated financial statements and related notes to the unaudited consolidated financial statements, including our critical accounting estimates, and the related Management's Discussion and Analysis of Financial Condition and Results of Operations included in this report, should be read in conjunction with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Executive Highlights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revenue, its growth, and other financial performance measures over the period 2018- June 30, 2026. Results for the period 2018-2025 provide supplemental financial information prior to our initial registration with the SEC:</w:t>
      </w:r>
    </w:p>
    <w:tbl>
      <w:tblPr>
        <w:tblW w:w="12966" w:type="dxa"/>
        <w:jc w:val="left"/>
        <w:tblInd w:w="0" w:type="dxa"/>
        <w:tblLayout w:type="fixed"/>
        <w:tblCellMar>
          <w:top w:w="28" w:type="dxa"/>
          <w:left w:w="28" w:type="dxa"/>
          <w:bottom w:w="28" w:type="dxa"/>
          <w:right w:w="28" w:type="dxa"/>
        </w:tblCellMar>
      </w:tblPr>
      <w:tblGrid>
        <w:gridCol w:w="306"/>
        <w:gridCol w:w="229"/>
        <w:gridCol w:w="231"/>
        <w:gridCol w:w="196"/>
        <w:gridCol w:w="466"/>
        <w:gridCol w:w="241"/>
        <w:gridCol w:w="109"/>
        <w:gridCol w:w="109"/>
        <w:gridCol w:w="109"/>
        <w:gridCol w:w="196"/>
        <w:gridCol w:w="466"/>
        <w:gridCol w:w="241"/>
        <w:gridCol w:w="109"/>
        <w:gridCol w:w="109"/>
        <w:gridCol w:w="109"/>
        <w:gridCol w:w="196"/>
        <w:gridCol w:w="466"/>
        <w:gridCol w:w="241"/>
        <w:gridCol w:w="109"/>
        <w:gridCol w:w="109"/>
        <w:gridCol w:w="109"/>
        <w:gridCol w:w="196"/>
        <w:gridCol w:w="466"/>
        <w:gridCol w:w="241"/>
        <w:gridCol w:w="109"/>
        <w:gridCol w:w="109"/>
        <w:gridCol w:w="109"/>
        <w:gridCol w:w="196"/>
        <w:gridCol w:w="556"/>
        <w:gridCol w:w="241"/>
        <w:gridCol w:w="109"/>
        <w:gridCol w:w="109"/>
        <w:gridCol w:w="109"/>
        <w:gridCol w:w="196"/>
        <w:gridCol w:w="556"/>
        <w:gridCol w:w="241"/>
        <w:gridCol w:w="109"/>
        <w:gridCol w:w="109"/>
        <w:gridCol w:w="109"/>
        <w:gridCol w:w="196"/>
        <w:gridCol w:w="556"/>
        <w:gridCol w:w="241"/>
        <w:gridCol w:w="109"/>
        <w:gridCol w:w="109"/>
        <w:gridCol w:w="109"/>
        <w:gridCol w:w="196"/>
        <w:gridCol w:w="556"/>
        <w:gridCol w:w="241"/>
        <w:gridCol w:w="109"/>
        <w:gridCol w:w="109"/>
        <w:gridCol w:w="109"/>
        <w:gridCol w:w="270"/>
        <w:gridCol w:w="211"/>
        <w:gridCol w:w="358"/>
        <w:gridCol w:w="109"/>
        <w:gridCol w:w="109"/>
        <w:gridCol w:w="109"/>
        <w:gridCol w:w="233"/>
        <w:gridCol w:w="233"/>
        <w:gridCol w:w="368"/>
      </w:tblGrid>
      <w:tr>
        <w:trPr/>
        <w:tc>
          <w:tcPr>
            <w:tcW w:w="30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6"/>
              </w:rPr>
              <w:t>6M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CAGR </w:t>
              <w:br/>
              <w:t>2018-2025</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Revenue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Revenue growth (year over year)</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64.2 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16.3</w:t>
            </w: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Organic Revenue Growth </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4.4</w:t>
            </w: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Net loss </w:t>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Adjusted EBITDA</w:t>
            </w:r>
            <w:r>
              <w:rPr>
                <w:rFonts w:ascii="Times New Roman;serif" w:hAnsi="Times New Roman;serif"/>
                <w:b w:val="false"/>
                <w:color w:val="000000"/>
                <w:sz w:val="10"/>
              </w:rPr>
              <w:t>(1)</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Net loss margin </w:t>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(20.9)</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Adjusted EBITDA margin</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Top 10 clients as % of total revenue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erif" w:hAnsi="Times New Roman;serif"/>
          <w:b w:val="false"/>
          <w:color w:val="000000"/>
          <w:sz w:val="16"/>
        </w:rPr>
        <w:t>(1)</w:t>
      </w:r>
      <w:r>
        <w:rPr>
          <w:rFonts w:ascii="Times New Roman;serif" w:hAnsi="Times New Roman;serif"/>
          <w:b w:val="false"/>
          <w:color w:val="000000"/>
          <w:sz w:val="13"/>
        </w:rPr>
        <w:t>We have presented Adjusted EBITDA from 2022 onwards only as, prior to 2022, we were formed as a partnership with profits being distributed to the partners.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table below sets out the non-GAAP financial measures used by our management together, in each case, with the nearest comparable measure under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80"/>
        <w:jc w:val="center"/>
        <w:rPr/>
      </w:pPr>
      <w:r>
        <w:rPr/>
      </w:r>
    </w:p>
    <w:tbl>
      <w:tblPr>
        <w:tblW w:w="8299" w:type="dxa"/>
        <w:jc w:val="left"/>
        <w:tblInd w:w="0" w:type="dxa"/>
        <w:tblLayout w:type="fixed"/>
        <w:tblCellMar>
          <w:top w:w="28" w:type="dxa"/>
          <w:left w:w="28" w:type="dxa"/>
          <w:bottom w:w="28" w:type="dxa"/>
          <w:right w:w="28" w:type="dxa"/>
        </w:tblCellMar>
      </w:tblPr>
      <w:tblGrid>
        <w:gridCol w:w="1067"/>
        <w:gridCol w:w="932"/>
        <w:gridCol w:w="941"/>
        <w:gridCol w:w="196"/>
        <w:gridCol w:w="571"/>
        <w:gridCol w:w="346"/>
        <w:gridCol w:w="109"/>
        <w:gridCol w:w="109"/>
        <w:gridCol w:w="109"/>
        <w:gridCol w:w="196"/>
        <w:gridCol w:w="556"/>
        <w:gridCol w:w="316"/>
        <w:gridCol w:w="109"/>
        <w:gridCol w:w="109"/>
        <w:gridCol w:w="109"/>
        <w:gridCol w:w="196"/>
        <w:gridCol w:w="631"/>
        <w:gridCol w:w="316"/>
        <w:gridCol w:w="109"/>
        <w:gridCol w:w="109"/>
        <w:gridCol w:w="109"/>
        <w:gridCol w:w="269"/>
        <w:gridCol w:w="271"/>
        <w:gridCol w:w="514"/>
      </w:tblGrid>
      <w:tr>
        <w:trPr/>
        <w:tc>
          <w:tcPr>
            <w:tcW w:w="106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reported for the three months ended June 30,</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Revenue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Net loss </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Net loss margin </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(7.2</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4.6 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12.3</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23.5</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(2.9)</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10.6</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11.9</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Net loss per share, basic and diluted </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(0.19)</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Adjusted EPS,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0.34</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Dividend per share </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0.236</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0.240 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(0.005)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bl>
    <w:tbl>
      <w:tblPr>
        <w:tblW w:w="9065" w:type="dxa"/>
        <w:jc w:val="left"/>
        <w:tblInd w:w="0" w:type="dxa"/>
        <w:tblLayout w:type="fixed"/>
        <w:tblCellMar>
          <w:top w:w="28" w:type="dxa"/>
          <w:left w:w="28" w:type="dxa"/>
          <w:bottom w:w="28" w:type="dxa"/>
          <w:right w:w="28" w:type="dxa"/>
        </w:tblCellMar>
      </w:tblPr>
      <w:tblGrid>
        <w:gridCol w:w="1263"/>
        <w:gridCol w:w="1103"/>
        <w:gridCol w:w="1114"/>
        <w:gridCol w:w="196"/>
        <w:gridCol w:w="571"/>
        <w:gridCol w:w="346"/>
        <w:gridCol w:w="109"/>
        <w:gridCol w:w="109"/>
        <w:gridCol w:w="109"/>
        <w:gridCol w:w="196"/>
        <w:gridCol w:w="556"/>
        <w:gridCol w:w="316"/>
        <w:gridCol w:w="109"/>
        <w:gridCol w:w="109"/>
        <w:gridCol w:w="109"/>
        <w:gridCol w:w="196"/>
        <w:gridCol w:w="631"/>
        <w:gridCol w:w="316"/>
        <w:gridCol w:w="109"/>
        <w:gridCol w:w="109"/>
        <w:gridCol w:w="109"/>
        <w:gridCol w:w="383"/>
        <w:gridCol w:w="383"/>
        <w:gridCol w:w="514"/>
      </w:tblGrid>
      <w:tr>
        <w:trPr/>
        <w:tc>
          <w:tcPr>
            <w:tcW w:w="126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reported for the six months ended June 30,</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Revenue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Net loss </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Net loss margin </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(14.9</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3.7 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23.4</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22.9</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(1.5)</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17.9</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Net loss per share, basic and diluted </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(0.68)</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Adjusted EPS, diluted </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0.59</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Dividend per share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0.236</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Net cash used in operating activities </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(9.1)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(3,155.4)</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Adjusted Free Cash Flow</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4.1</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(64.5)</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 xml:space="preserve">Cash and cash equivalents at end of period </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36.9</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Debt at end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Reconciliation of net loss and net loss margin to Adjusted EBITDA and Adjusted EBITDA margin </w:t>
      </w:r>
    </w:p>
    <w:tbl>
      <w:tblPr>
        <w:tblW w:w="11278" w:type="dxa"/>
        <w:jc w:val="left"/>
        <w:tblInd w:w="0" w:type="dxa"/>
        <w:tblLayout w:type="fixed"/>
        <w:tblCellMar>
          <w:top w:w="28" w:type="dxa"/>
          <w:left w:w="28" w:type="dxa"/>
          <w:bottom w:w="28" w:type="dxa"/>
          <w:right w:w="28" w:type="dxa"/>
        </w:tblCellMar>
      </w:tblPr>
      <w:tblGrid>
        <w:gridCol w:w="794"/>
        <w:gridCol w:w="374"/>
        <w:gridCol w:w="168"/>
        <w:gridCol w:w="196"/>
        <w:gridCol w:w="481"/>
        <w:gridCol w:w="271"/>
        <w:gridCol w:w="109"/>
        <w:gridCol w:w="109"/>
        <w:gridCol w:w="109"/>
        <w:gridCol w:w="196"/>
        <w:gridCol w:w="466"/>
        <w:gridCol w:w="241"/>
        <w:gridCol w:w="109"/>
        <w:gridCol w:w="109"/>
        <w:gridCol w:w="109"/>
        <w:gridCol w:w="196"/>
        <w:gridCol w:w="391"/>
        <w:gridCol w:w="301"/>
        <w:gridCol w:w="109"/>
        <w:gridCol w:w="109"/>
        <w:gridCol w:w="109"/>
        <w:gridCol w:w="344"/>
        <w:gridCol w:w="347"/>
        <w:gridCol w:w="427"/>
        <w:gridCol w:w="109"/>
        <w:gridCol w:w="109"/>
        <w:gridCol w:w="109"/>
        <w:gridCol w:w="196"/>
        <w:gridCol w:w="481"/>
        <w:gridCol w:w="271"/>
        <w:gridCol w:w="109"/>
        <w:gridCol w:w="109"/>
        <w:gridCol w:w="109"/>
        <w:gridCol w:w="196"/>
        <w:gridCol w:w="481"/>
        <w:gridCol w:w="241"/>
        <w:gridCol w:w="109"/>
        <w:gridCol w:w="109"/>
        <w:gridCol w:w="109"/>
        <w:gridCol w:w="196"/>
        <w:gridCol w:w="376"/>
        <w:gridCol w:w="301"/>
        <w:gridCol w:w="109"/>
        <w:gridCol w:w="109"/>
        <w:gridCol w:w="109"/>
        <w:gridCol w:w="285"/>
        <w:gridCol w:w="286"/>
        <w:gridCol w:w="486"/>
      </w:tblGrid>
      <w:tr>
        <w:trPr/>
        <w:tc>
          <w:tcPr>
            <w:tcW w:w="79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Change</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(15.2)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loss margin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(7.2)</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4.6 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(14.9)</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3.7 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Adjustments:</w:t>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(775.1)</w:t>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(330.6)</w:t>
            </w:r>
          </w:p>
        </w:tc>
        <w:tc>
          <w:tcPr>
            <w:tcW w:w="4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0.7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w:t>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4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0.4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1,545.8 </w:t>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(24.4)</w:t>
            </w:r>
          </w:p>
        </w:tc>
        <w:tc>
          <w:tcPr>
            <w:tcW w:w="4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0.1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0.0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290.2 </w:t>
            </w:r>
          </w:p>
        </w:tc>
        <w:tc>
          <w:tcPr>
            <w:tcW w:w="4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4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EBITDA</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62.2 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Long-term incentive program charges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w:t>
            </w:r>
          </w:p>
        </w:tc>
        <w:tc>
          <w:tcPr>
            <w:tcW w:w="4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Share-based accounting charge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4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Post-combination compensation charge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w:t>
            </w:r>
          </w:p>
        </w:tc>
        <w:tc>
          <w:tcPr>
            <w:tcW w:w="4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Change in fair value of contingent consideration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0.9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(47.3)</w:t>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168.8 </w:t>
            </w:r>
          </w:p>
        </w:tc>
        <w:tc>
          <w:tcPr>
            <w:tcW w:w="4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Gain on bargain purchase, net of deferred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Adjusted EBITDA incl. M&amp;A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22.4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M&amp;A Expenses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883.1 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281.4 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Adjusted EBITDA Margin</w:t>
            </w:r>
          </w:p>
        </w:tc>
        <w:tc>
          <w:tcPr>
            <w:tcW w:w="67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(2.9)</w:t>
            </w:r>
          </w:p>
        </w:tc>
        <w:tc>
          <w:tcPr>
            <w:tcW w:w="3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pts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(1.5)</w:t>
            </w:r>
          </w:p>
        </w:tc>
        <w:tc>
          <w:tcPr>
            <w:tcW w:w="3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pts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Financial Results</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Second Quarter Financial Results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the three months ended June 30, 2026, revenue increased by 7.3% to $52.1 million, with organic growth contributing 3.9%, and the balance primarily driven by two acquisitions, Westminster Policy Partners Limited (“WPI”) (completed April 1, 2026) and Pine Cove Strategies, LLC (“Pine Cove”)</w:t>
      </w:r>
      <w:r>
        <w:rPr>
          <w:color w:val="000000"/>
        </w:rPr>
        <w:t xml:space="preserve"> </w:t>
      </w:r>
      <w:r>
        <w:rPr>
          <w:rFonts w:ascii="Times New Roman;serif" w:hAnsi="Times New Roman;serif"/>
          <w:b w:val="false"/>
          <w:color w:val="000000"/>
          <w:sz w:val="20"/>
        </w:rPr>
        <w:t>(completed July 11, 2025).</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GAAP net losses decreased from $5.7 million in the three months ended June 30, 2025, to </w:t>
      </w:r>
      <w:r>
        <w:rPr>
          <w:rFonts w:ascii="Times New Roman;serif" w:hAnsi="Times New Roman;serif"/>
          <w:b w:val="false"/>
          <w:color w:val="000000"/>
          <w:sz w:val="18"/>
        </w:rPr>
        <w:t>$3.7 million</w:t>
      </w:r>
      <w:r>
        <w:rPr>
          <w:color w:val="000000"/>
        </w:rPr>
        <w:t xml:space="preserve"> </w:t>
      </w:r>
      <w:r>
        <w:rPr>
          <w:rFonts w:ascii="Times New Roman;serif" w:hAnsi="Times New Roman;serif"/>
          <w:b w:val="false"/>
          <w:color w:val="000000"/>
          <w:sz w:val="20"/>
        </w:rPr>
        <w:t xml:space="preserve">in the three months ended June 30, 2026. The loss is primarily attributable to the </w:t>
      </w:r>
      <w:r>
        <w:rPr>
          <w:rFonts w:ascii="Times New Roman;serif" w:hAnsi="Times New Roman;serif"/>
          <w:b w:val="false"/>
          <w:color w:val="000000"/>
          <w:sz w:val="18"/>
        </w:rPr>
        <w:t>$7.4 million</w:t>
      </w:r>
      <w:r>
        <w:rPr>
          <w:color w:val="000000"/>
        </w:rPr>
        <w:t xml:space="preserve"> </w:t>
      </w:r>
      <w:r>
        <w:rPr>
          <w:rFonts w:ascii="Times New Roman;serif" w:hAnsi="Times New Roman;serif"/>
          <w:b w:val="false"/>
          <w:color w:val="000000"/>
          <w:sz w:val="20"/>
        </w:rPr>
        <w:t>in share-based accounting charge stemming from the 2021 UK IPO and the treatment of acquisitions in our accounts, related to the change in fair value of contingent consideration and post combination compensation charges.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reduction in net loss of </w:t>
      </w:r>
      <w:r>
        <w:rPr>
          <w:rFonts w:ascii="Times New Roman;serif" w:hAnsi="Times New Roman;serif"/>
          <w:b w:val="false"/>
          <w:color w:val="000000"/>
          <w:sz w:val="18"/>
        </w:rPr>
        <w:t>$2.0 million</w:t>
      </w:r>
      <w:r>
        <w:rPr>
          <w:color w:val="000000"/>
        </w:rPr>
        <w:t xml:space="preserve"> </w:t>
      </w:r>
      <w:r>
        <w:rPr>
          <w:rFonts w:ascii="Times New Roman;serif" w:hAnsi="Times New Roman;serif"/>
          <w:b w:val="false"/>
          <w:color w:val="000000"/>
          <w:sz w:val="20"/>
        </w:rPr>
        <w:t>during the three months ended June 30, 2026 is attributable to a decrease of $1.1 million in Post-combination compensation charge, $0.8 million bargain purchase gain resulting from the acquisitions in 2026, and a favorable decrease in the change in fair value of contingent consideration of $0.8 million. These favorable reductions in expense were partially offset by an increase in mergers and acquisitions expenses of $0.7 million, reflecting heightened acquisition activity during the quarter relative to the comparable prior-year period.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the three months ended June 30, 2026, Adjusted EBITDA was $12.3 million, down 4.4% or $0.6 million, as compared to the three months ended June 30, 2025, realized at a 23.5% margin. This decrease in Adjusted EBITDA was primarily attributable to the growth in non-allocated corporate costs, which increased $1.4 million, from $2.9 million to $4.3 million, as a result of building out a robust central platform for supporting our clients, the incremental U.S. public company costs stemming from the 2026 U.S. IPO, and the growing of our group of member companies. In addition, non-allocated bonus increased $0.3 million to $4.0 million as a result of improved underlying performance. These factors were partially offset by a $1.1 million increase in Total Segment Adjusted Pre-bonus EBITDA, which went up from $19.5 million to $20.6 million.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the three months ended June 30, 2026, Adjusted Net Income was $10.6 million, down 11.0% or $1.3 million, as compared to the three months ended June 30, 2025. Adjusted Net Income was primarily impacted by the $0.7 million increase in mergers and acquisitions expenses, the same factors as Adjusted EBITDA discussed above in the amount of $0.6 million, and income tax expense increasing $0.4 million. The impact of these items was partially offset by a decrease in net finance costs of $0.4 million.</w:t>
      </w:r>
    </w:p>
    <w:p>
      <w:pPr>
        <w:pStyle w:val="TextBody"/>
        <w:bidi w:val="0"/>
        <w:spacing w:lineRule="auto" w:line="288" w:before="0" w:after="180"/>
        <w:ind w:left="0" w:right="0" w:hanging="361"/>
        <w:jc w:val="left"/>
        <w:rPr/>
      </w:pPr>
      <w:r>
        <w:rPr>
          <w:color w:val="000000"/>
        </w:rPr>
        <w:t>•</w:t>
      </w:r>
      <w:r>
        <w:rPr>
          <w:rFonts w:ascii="Times New Roman;serif" w:hAnsi="Times New Roman;serif"/>
          <w:b w:val="false"/>
          <w:color w:val="000000"/>
          <w:sz w:val="20"/>
        </w:rPr>
        <w:t>Adjusted EPS fully diluted of $0.34 compared to $0.45 in the three months ended June 30, 2025, reflecting the higher share count following the January 2026 U.S. IPO.</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Six months ended June 30, 2026 Financial Results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the six months ended June 30, 2026, revenue increased by 16.3% to $102.3 million, with organic growth contributing 4.4%, and the balance primarily driven by the two acquisitions, TrailRunner International, LLC (“TrailRunner”) (completed April 1, 2025), Westminster Policy Partners Limited (“WPI”) (completed April 1, 2026), and Pine Cove Strategies, LLC (“Pine Cove”)</w:t>
      </w:r>
      <w:r>
        <w:rPr>
          <w:color w:val="000000"/>
        </w:rPr>
        <w:t xml:space="preserve"> </w:t>
      </w:r>
      <w:r>
        <w:rPr>
          <w:rFonts w:ascii="Times New Roman;serif" w:hAnsi="Times New Roman;serif"/>
          <w:b w:val="false"/>
          <w:color w:val="000000"/>
          <w:sz w:val="20"/>
        </w:rPr>
        <w:t xml:space="preserve">(completed July 11, 2025). </w:t>
      </w:r>
    </w:p>
    <w:p>
      <w:pPr>
        <w:pStyle w:val="TextBody"/>
        <w:bidi w:val="0"/>
        <w:spacing w:lineRule="auto" w:line="288" w:before="0" w:after="180"/>
        <w:ind w:left="0" w:right="0" w:hanging="360"/>
        <w:jc w:val="left"/>
        <w:rPr/>
      </w:pPr>
      <w:bookmarkStart w:id="1" w:name="iacc605bef8b54632841bc434796a9654_2124"/>
      <w:bookmarkEnd w:id="1"/>
      <w:r>
        <w:rPr>
          <w:color w:val="000000"/>
        </w:rPr>
        <w:t>•</w:t>
      </w:r>
      <w:r>
        <w:rPr>
          <w:rFonts w:ascii="Times New Roman;serif" w:hAnsi="Times New Roman;serif"/>
          <w:b w:val="false"/>
          <w:color w:val="000000"/>
          <w:sz w:val="20"/>
        </w:rPr>
        <w:t>GAAP net losses decreased from $16.3 million in the six months ended June 30, 2025, to $15.2 million in the six months ended June 30, 2026. The loss is primarily attributable to the $14.6 million in share-based accounting charge stemming from the 2021 UK IPO and the treatment of acquisitions in our accounts, related to the change in fair value of contingent consideration and post combination compensation charges.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$1.1 million reduction in net loss in the six months ended June 30, 2026 was primarily attributable to a favorable decrease in income tax expense of $1.0 million resulting from a one</w:t>
        <w:noBreakHyphen/>
        <w:t>time transaction that gave rise to the recognition of a deferred tax asset. Additionally, the Company recognized a $0.9 million</w:t>
      </w:r>
      <w:r>
        <w:rPr>
          <w:color w:val="000000"/>
        </w:rPr>
        <w:t xml:space="preserve"> </w:t>
      </w:r>
      <w:r>
        <w:rPr>
          <w:rFonts w:ascii="Times New Roman;serif" w:hAnsi="Times New Roman;serif"/>
          <w:b w:val="false"/>
          <w:color w:val="000000"/>
          <w:sz w:val="20"/>
        </w:rPr>
        <w:t>bargain purchase gain in connection with the acquisitions in the six months ended June 30, 2026, compared to no such gain recognized in the six months ended June 30, 2025. These favorable changes were partially offset by an increase of $0.8 million in mergers and acquisitions expense, reflecting heightened acquisition activity during the first half of 2026 relative to the comparable prior-year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Adjusted EBITDA was at $23.4 million, up 9.3% or $2.0 million, as compared to the six months ended June 30, 2025, with a 22.9% margin. The growth in Adjusted EBITDA was driven by improved underlying performance resulting in Segment Adjusted Pre-Bonus EBITDA increasing $5.1 million to $40.0 million. This was partially offset by unallocated corporate costs increasing by $2.1 million to $8.7 million as the Company continues incurring incremental U.S. public company costs stemming from the 2026 U.S. IPO. In addition, non-allocated bonus increased $1.0 million to $7.9 million as a result of the improved underlying performance.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Adjusted Net Income of $17.9 million, up 15.3% or $2.4 million as compared to the six months ended June 30, 2025, driven by Adjusted EBITDA as well as favorable decreases in tax expense of $1.0 million and $0.2 million in net finance cost. These items were partially offset by an increase of $0.8 million in mergers and acquisitions expense during the period.</w:t>
      </w:r>
    </w:p>
    <w:p>
      <w:pPr>
        <w:pStyle w:val="TextBody"/>
        <w:bidi w:val="0"/>
        <w:spacing w:lineRule="auto" w:line="288" w:before="0" w:after="180"/>
        <w:ind w:left="0" w:right="0" w:hanging="361"/>
        <w:jc w:val="left"/>
        <w:rPr/>
      </w:pPr>
      <w:r>
        <w:rPr>
          <w:color w:val="000000"/>
        </w:rPr>
        <w:t>•</w:t>
      </w:r>
      <w:r>
        <w:rPr>
          <w:rFonts w:ascii="Times New Roman;serif" w:hAnsi="Times New Roman;serif"/>
          <w:b w:val="false"/>
          <w:color w:val="000000"/>
          <w:sz w:val="20"/>
        </w:rPr>
        <w:t>Adjusted EPS, fully diluted of $0.59 compared to $0.60 in six months ended June 30, 2025, reflecting the higher share count following the January 2026 U.S. IPO</w:t>
      </w:r>
    </w:p>
    <w:p>
      <w:pPr>
        <w:pStyle w:val="TextBody"/>
        <w:bidi w:val="0"/>
        <w:spacing w:lineRule="auto" w:line="288" w:before="0" w:after="180"/>
        <w:ind w:left="0" w:right="0" w:hanging="361"/>
        <w:jc w:val="left"/>
        <w:rPr/>
      </w:pPr>
      <w:r>
        <w:rPr>
          <w:color w:val="000000"/>
        </w:rPr>
        <w:t>•</w:t>
      </w:r>
      <w:r>
        <w:rPr>
          <w:rFonts w:ascii="Times New Roman;serif" w:hAnsi="Times New Roman;serif"/>
          <w:b w:val="false"/>
          <w:color w:val="000000"/>
          <w:sz w:val="20"/>
        </w:rPr>
        <w:t>The Group recorded Adjusted Free Cash Flow of $4.1 million for the six months ended June 30, 2026 as compared to $11.7 million in the six months ended June 30, 2025. The decrease of $7.5 million in Adjusted Free Cash Flow is attributable to the Company's investment in working capital. In the six months ended June 30, 2026, contract and unbilled receivables increased by $10.3 million in conjunction with accounts payable and accrued expenses decreasing by $6.3 million, totaling a $16.6 million investment; while in the six months ended June 30, 2025, the investment in working capital was less pronounced at $12.1 million ($7.9 million increase in contract and unbilled receivables and $4.2 million decrease in accounts payable and accrued expenses). The result was an increased investment in working capital of $4.5 million in the six months ended June 30, 2026 compared to the six months ended June 30, 2025. The remainder of the change in Adjusted Free Cash Flow is primarily driven by the provision for deferred income taxes increasing $4.6 million in the six months ended June 30, 2026 compared to $1.4 million in the six months ended June 30, 2025, an increase of $3.2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EPS and Adjusted EPS, fully diluted for the three and six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1101"/>
        <w:gridCol w:w="757"/>
        <w:gridCol w:w="764"/>
        <w:gridCol w:w="228"/>
        <w:gridCol w:w="560"/>
        <w:gridCol w:w="128"/>
        <w:gridCol w:w="109"/>
        <w:gridCol w:w="109"/>
        <w:gridCol w:w="109"/>
        <w:gridCol w:w="271"/>
        <w:gridCol w:w="665"/>
        <w:gridCol w:w="152"/>
        <w:gridCol w:w="109"/>
        <w:gridCol w:w="109"/>
        <w:gridCol w:w="109"/>
        <w:gridCol w:w="235"/>
        <w:gridCol w:w="578"/>
        <w:gridCol w:w="133"/>
        <w:gridCol w:w="109"/>
        <w:gridCol w:w="109"/>
        <w:gridCol w:w="109"/>
        <w:gridCol w:w="228"/>
        <w:gridCol w:w="560"/>
        <w:gridCol w:w="128"/>
        <w:gridCol w:w="109"/>
        <w:gridCol w:w="109"/>
        <w:gridCol w:w="109"/>
        <w:gridCol w:w="276"/>
        <w:gridCol w:w="658"/>
        <w:gridCol w:w="154"/>
        <w:gridCol w:w="109"/>
        <w:gridCol w:w="109"/>
        <w:gridCol w:w="109"/>
        <w:gridCol w:w="238"/>
        <w:gridCol w:w="565"/>
        <w:gridCol w:w="191"/>
      </w:tblGrid>
      <w:tr>
        <w:trPr/>
        <w:tc>
          <w:tcPr>
            <w:tcW w:w="110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3" w:type="dxa"/>
            <w:gridSpan w:val="3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Three months ended June 30,</w:t>
            </w:r>
          </w:p>
        </w:tc>
      </w:tr>
      <w:tr>
        <w:trPr/>
        <w:tc>
          <w:tcPr>
            <w:tcW w:w="2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2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7"/>
              </w:rPr>
              <w:t>Adjustments</w:t>
            </w:r>
            <w:r>
              <w:rPr>
                <w:rFonts w:ascii="Times New Roman;serif" w:hAnsi="Times New Roman;serif"/>
                <w:b/>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7"/>
              </w:rPr>
              <w:t>Adjustments</w:t>
            </w:r>
            <w:r>
              <w:rPr>
                <w:rFonts w:ascii="Times New Roman;serif" w:hAnsi="Times New Roman;serif"/>
                <w:b/>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Non-GAAP</w:t>
            </w:r>
          </w:p>
        </w:tc>
      </w:tr>
      <w:tr>
        <w:trPr/>
        <w:tc>
          <w:tcPr>
            <w:tcW w:w="26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Net loss and Adjusted Net Income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(3.7)</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14.3</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10.6</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(5.7)</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u w:val="single"/>
              </w:rPr>
            </w:pPr>
            <w:r>
              <w:rPr>
                <w:rFonts w:ascii="Times New Roman;serif" w:hAnsi="Times New Roman;serif"/>
                <w:b w:val="false"/>
                <w:color w:val="000000"/>
                <w:sz w:val="17"/>
                <w:u w:val="single"/>
              </w:rPr>
              <w:t>Adjustments to Net Income</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Amortization of intangible assets</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1.6</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Share-based accounting charge</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7.4</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Post-combination compensation charge</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4.2</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Change in fair value of contingent consideration</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0.9</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Long-term incentive program expense</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1.1</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Gain on bargain purchase price</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(0.8)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262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26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income, net</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0.1</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14.3</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Weighted average number of shares outstanding</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 xml:space="preserve">-Common Shares </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24,951,184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17,183,129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-Legally outstanding shares</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29,433,918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24,588,121</w:t>
            </w:r>
          </w:p>
        </w:tc>
      </w:tr>
      <w:tr>
        <w:trPr/>
        <w:tc>
          <w:tcPr>
            <w:tcW w:w="262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 xml:space="preserve">-Fully Diluted </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31,236,747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26,172,828</w:t>
            </w:r>
          </w:p>
        </w:tc>
      </w:tr>
      <w:tr>
        <w:trPr/>
        <w:tc>
          <w:tcPr>
            <w:tcW w:w="26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 xml:space="preserve">Earnings per share (EPS, $), based on </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 xml:space="preserve">-Common Shares </w:t>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(0.19)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(0.44)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-Legally outstanding shares</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0.36</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0.48 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-Fully Diluted</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0.34</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0.45 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80"/>
        <w:jc w:val="center"/>
        <w:rPr/>
      </w:pPr>
      <w:r>
        <w:rPr/>
      </w:r>
    </w:p>
    <w:tbl>
      <w:tblPr>
        <w:tblW w:w="10205" w:type="dxa"/>
        <w:jc w:val="left"/>
        <w:tblInd w:w="0" w:type="dxa"/>
        <w:tblLayout w:type="fixed"/>
        <w:tblCellMar>
          <w:top w:w="28" w:type="dxa"/>
          <w:left w:w="28" w:type="dxa"/>
          <w:bottom w:w="28" w:type="dxa"/>
          <w:right w:w="28" w:type="dxa"/>
        </w:tblCellMar>
      </w:tblPr>
      <w:tblGrid>
        <w:gridCol w:w="1116"/>
        <w:gridCol w:w="790"/>
        <w:gridCol w:w="796"/>
        <w:gridCol w:w="228"/>
        <w:gridCol w:w="560"/>
        <w:gridCol w:w="128"/>
        <w:gridCol w:w="109"/>
        <w:gridCol w:w="109"/>
        <w:gridCol w:w="109"/>
        <w:gridCol w:w="272"/>
        <w:gridCol w:w="667"/>
        <w:gridCol w:w="152"/>
        <w:gridCol w:w="109"/>
        <w:gridCol w:w="109"/>
        <w:gridCol w:w="109"/>
        <w:gridCol w:w="235"/>
        <w:gridCol w:w="578"/>
        <w:gridCol w:w="133"/>
        <w:gridCol w:w="109"/>
        <w:gridCol w:w="109"/>
        <w:gridCol w:w="109"/>
        <w:gridCol w:w="228"/>
        <w:gridCol w:w="560"/>
        <w:gridCol w:w="128"/>
        <w:gridCol w:w="109"/>
        <w:gridCol w:w="109"/>
        <w:gridCol w:w="109"/>
        <w:gridCol w:w="255"/>
        <w:gridCol w:w="608"/>
        <w:gridCol w:w="143"/>
        <w:gridCol w:w="109"/>
        <w:gridCol w:w="109"/>
        <w:gridCol w:w="109"/>
        <w:gridCol w:w="238"/>
        <w:gridCol w:w="565"/>
        <w:gridCol w:w="190"/>
      </w:tblGrid>
      <w:tr>
        <w:trPr/>
        <w:tc>
          <w:tcPr>
            <w:tcW w:w="111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Six months ended June 30,</w:t>
            </w:r>
          </w:p>
        </w:tc>
      </w:tr>
      <w:tr>
        <w:trPr/>
        <w:tc>
          <w:tcPr>
            <w:tcW w:w="2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2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7"/>
              </w:rPr>
              <w:t>Adjustments</w:t>
            </w:r>
            <w:r>
              <w:rPr>
                <w:rFonts w:ascii="Times New Roman;serif" w:hAnsi="Times New Roman;serif"/>
                <w:b/>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Non-GAAP</w:t>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Net loss and Adjusted Net Income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(15.2)</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33.2</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17.9</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u w:val="single"/>
              </w:rPr>
            </w:pPr>
            <w:r>
              <w:rPr>
                <w:rFonts w:ascii="Times New Roman;serif" w:hAnsi="Times New Roman;serif"/>
                <w:b w:val="false"/>
                <w:color w:val="000000"/>
                <w:sz w:val="17"/>
                <w:u w:val="single"/>
              </w:rPr>
              <w:t>Adjustments to Net Income</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Amortization of intangible assets</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3.2</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Share-based accounting charge</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14.6</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Post-combination compensation charge</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7.0</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Change in fair value of contingent consideration</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7.2</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Long-term incentive program expense</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2.0</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Gain on bargain purchase price</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(0.9)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70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70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33.2</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Weighted average number of shares outstanding</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 xml:space="preserve">-Common Shares </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24,130,718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17,044,164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-Legally outstanding shares</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28,527,092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24,284,834</w:t>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 xml:space="preserve">-Fully Diluted </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30,271,066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25,838,782</w:t>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 xml:space="preserve">Earnings per share (EPS, $), based on </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 xml:space="preserve">-Common Shares </w:t>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(0.68)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-Legally outstanding shares</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0.63</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0.64 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-Fully Diluted</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0.59</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0.60 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(1)Table may not sum due to immaterial rounding differences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Consolidated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detailed components of our consolidated income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80"/>
        <w:jc w:val="center"/>
        <w:rPr/>
      </w:pPr>
      <w:r>
        <w:rPr/>
      </w:r>
    </w:p>
    <w:tbl>
      <w:tblPr>
        <w:tblW w:w="8610" w:type="dxa"/>
        <w:jc w:val="left"/>
        <w:tblInd w:w="0" w:type="dxa"/>
        <w:tblLayout w:type="fixed"/>
        <w:tblCellMar>
          <w:top w:w="28" w:type="dxa"/>
          <w:left w:w="28" w:type="dxa"/>
          <w:bottom w:w="28" w:type="dxa"/>
          <w:right w:w="28" w:type="dxa"/>
        </w:tblCellMar>
      </w:tblPr>
      <w:tblGrid>
        <w:gridCol w:w="1379"/>
        <w:gridCol w:w="1212"/>
        <w:gridCol w:w="1218"/>
        <w:gridCol w:w="196"/>
        <w:gridCol w:w="481"/>
        <w:gridCol w:w="109"/>
        <w:gridCol w:w="109"/>
        <w:gridCol w:w="109"/>
        <w:gridCol w:w="109"/>
        <w:gridCol w:w="196"/>
        <w:gridCol w:w="481"/>
        <w:gridCol w:w="109"/>
        <w:gridCol w:w="109"/>
        <w:gridCol w:w="109"/>
        <w:gridCol w:w="109"/>
        <w:gridCol w:w="343"/>
        <w:gridCol w:w="348"/>
        <w:gridCol w:w="581"/>
        <w:gridCol w:w="109"/>
        <w:gridCol w:w="109"/>
        <w:gridCol w:w="109"/>
        <w:gridCol w:w="258"/>
        <w:gridCol w:w="515"/>
        <w:gridCol w:w="203"/>
      </w:tblGrid>
      <w:tr>
        <w:trPr/>
        <w:tc>
          <w:tcPr>
            <w:tcW w:w="137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Statements</w:t>
            </w:r>
          </w:p>
        </w:tc>
        <w:tc>
          <w:tcPr>
            <w:tcW w:w="48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Variance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Variance</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w:t>
            </w:r>
            <w:r>
              <w:rPr>
                <w:color w:val="000000"/>
              </w:rPr>
              <w:t>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w:t>
            </w: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Staff cost - direct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accounting charge - direct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 term incentive program charges - direct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Post-combination compensation - direct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Bonus - direct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Salaries and other personnel costs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0.0</w:t>
            </w:r>
            <w:r>
              <w:rPr>
                <w:color w:val="000000"/>
              </w:rPr>
              <w:t> </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0.0</w:t>
            </w: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 – technology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costs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Office and other direct costs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w:t>
            </w:r>
            <w:r>
              <w:rPr>
                <w:color w:val="000000"/>
              </w:rPr>
              <w:t>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w:t>
            </w: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 of services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0.5</w:t>
            </w:r>
            <w:r>
              <w:rPr>
                <w:color w:val="000000"/>
              </w:rPr>
              <w:t> </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w:t>
            </w: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Staff cost - indirect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accounting charge - indirect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 term incentive program charges - indirect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Non-staff costs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Bonus - indirect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Salaries, general and administrative</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26.6</w:t>
            </w:r>
            <w:r>
              <w:rPr>
                <w:color w:val="000000"/>
              </w:rPr>
              <w:t> </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w:t>
            </w: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Mergers and acquisitions expense</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883.1</w:t>
            </w:r>
            <w:r>
              <w:rPr>
                <w:color w:val="000000"/>
              </w:rPr>
              <w:t>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w:t>
            </w: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Depreciation and amortization expense</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Change in fair value of contingent consideration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(47.3)</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(0.8)</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w:t>
            </w:r>
            <w:r>
              <w:rPr>
                <w:color w:val="000000"/>
              </w:rPr>
              <w:t> </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w:t>
            </w: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from operations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20.6</w:t>
            </w:r>
            <w:r>
              <w:rPr>
                <w:color w:val="000000"/>
              </w:rPr>
              <w:t>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bargain purchase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674.8 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775.1 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before income taxes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41.2</w:t>
            </w:r>
            <w:r>
              <w:rPr>
                <w:color w:val="000000"/>
              </w:rPr>
              <w:t> </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w:t>
            </w: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1,545.8 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34.8</w:t>
            </w:r>
            <w:r>
              <w:rPr>
                <w:color w:val="000000"/>
              </w:rPr>
              <w:t> </w:t>
            </w:r>
          </w:p>
        </w:tc>
        <w:tc>
          <w:tcPr>
            <w:tcW w:w="5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w:t>
            </w:r>
            <w:r>
              <w:rPr>
                <w:color w:val="000000"/>
              </w:rPr>
              <w:t> </w:t>
            </w:r>
          </w:p>
        </w:tc>
        <w:tc>
          <w:tcPr>
            <w:tcW w:w="2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80"/>
        <w:jc w:val="center"/>
        <w:rPr/>
      </w:pPr>
      <w:r>
        <w:rPr/>
      </w:r>
    </w:p>
    <w:tbl>
      <w:tblPr>
        <w:tblW w:w="8760" w:type="dxa"/>
        <w:jc w:val="left"/>
        <w:tblInd w:w="0" w:type="dxa"/>
        <w:tblLayout w:type="fixed"/>
        <w:tblCellMar>
          <w:top w:w="28" w:type="dxa"/>
          <w:left w:w="28" w:type="dxa"/>
          <w:bottom w:w="28" w:type="dxa"/>
          <w:right w:w="28" w:type="dxa"/>
        </w:tblCellMar>
      </w:tblPr>
      <w:tblGrid>
        <w:gridCol w:w="1379"/>
        <w:gridCol w:w="1212"/>
        <w:gridCol w:w="1218"/>
        <w:gridCol w:w="196"/>
        <w:gridCol w:w="571"/>
        <w:gridCol w:w="109"/>
        <w:gridCol w:w="109"/>
        <w:gridCol w:w="109"/>
        <w:gridCol w:w="109"/>
        <w:gridCol w:w="196"/>
        <w:gridCol w:w="541"/>
        <w:gridCol w:w="109"/>
        <w:gridCol w:w="109"/>
        <w:gridCol w:w="109"/>
        <w:gridCol w:w="109"/>
        <w:gridCol w:w="343"/>
        <w:gridCol w:w="348"/>
        <w:gridCol w:w="581"/>
        <w:gridCol w:w="109"/>
        <w:gridCol w:w="109"/>
        <w:gridCol w:w="109"/>
        <w:gridCol w:w="230"/>
        <w:gridCol w:w="564"/>
        <w:gridCol w:w="182"/>
      </w:tblGrid>
      <w:tr>
        <w:trPr/>
        <w:tc>
          <w:tcPr>
            <w:tcW w:w="137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Statements</w:t>
            </w:r>
          </w:p>
        </w:tc>
        <w:tc>
          <w:tcPr>
            <w:tcW w:w="495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Variance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Variance</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16.3</w:t>
            </w:r>
            <w:r>
              <w:rPr>
                <w:color w:val="000000"/>
              </w:rPr>
              <w:t>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14.4</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Staff cost - direct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accounting charge - direct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 term incentive program charges - direct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Post-combination compensation - direct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Bonus - direct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Salaries and other personnel costs</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w:t>
            </w:r>
            <w:r>
              <w:rPr>
                <w:color w:val="000000"/>
              </w:rPr>
              <w:t> </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w:t>
            </w: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 – technology</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costs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Office and other direct costs</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14.6</w:t>
            </w:r>
            <w:r>
              <w:rPr>
                <w:color w:val="000000"/>
              </w:rPr>
              <w:t>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0.5</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 of services</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w:t>
            </w:r>
            <w:r>
              <w:rPr>
                <w:color w:val="000000"/>
              </w:rPr>
              <w:t> </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w:t>
            </w: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Staff cost - indirect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accounting charge - indirect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 term incentive program charges - indirect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Non-staff costs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Bonus - indirect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Salaries, general and administrative</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25.5</w:t>
            </w:r>
            <w:r>
              <w:rPr>
                <w:color w:val="000000"/>
              </w:rPr>
              <w:t> </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w:t>
            </w: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Mergers and acquisitions expense</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281.4</w:t>
            </w:r>
            <w:r>
              <w:rPr>
                <w:color w:val="000000"/>
              </w:rPr>
              <w:t>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0.8</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Depreciation and amortization expense</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w:t>
            </w:r>
            <w:r>
              <w:rPr>
                <w:color w:val="000000"/>
              </w:rPr>
              <w:t> </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w:t>
            </w: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Change in fair value of contingent consideration</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168.8</w:t>
            </w: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w:t>
            </w: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15.8</w:t>
            </w:r>
            <w:r>
              <w:rPr>
                <w:color w:val="000000"/>
              </w:rPr>
              <w:t> </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15.6</w:t>
            </w: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from operations</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(11.8)</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bargain purchase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1,421.7 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330.6 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before income taxes</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(16.3)</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w:t>
            </w:r>
            <w:r>
              <w:rPr>
                <w:color w:val="000000"/>
              </w:rPr>
              <w:t> </w:t>
            </w:r>
          </w:p>
        </w:tc>
        <w:tc>
          <w:tcPr>
            <w:tcW w:w="5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w:t>
            </w:r>
            <w:r>
              <w:rPr>
                <w:color w:val="000000"/>
              </w:rPr>
              <w:t> </w:t>
            </w:r>
          </w:p>
        </w:tc>
        <w:tc>
          <w:tcPr>
            <w:tcW w:w="1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0" w:after="180"/>
        <w:jc w:val="left"/>
        <w:rPr/>
      </w:pPr>
      <w:r>
        <w:rPr>
          <w:rFonts w:ascii="Times New Roman;serif" w:hAnsi="Times New Roman;serif"/>
          <w:b w:val="false"/>
          <w:color w:val="000000"/>
          <w:sz w:val="20"/>
        </w:rPr>
        <w:t xml:space="preserve">Refer to </w:t>
      </w:r>
      <w:hyperlink w:anchor="ia205c5d90abd40f8965784bd20691379_67">
        <w:r>
          <w:rPr>
            <w:rStyle w:val="InternetLink"/>
            <w:rFonts w:ascii="Times New Roman;serif" w:hAnsi="Times New Roman;serif"/>
            <w:b w:val="false"/>
            <w:color w:val="0000FF"/>
            <w:sz w:val="20"/>
            <w:u w:val="single"/>
          </w:rPr>
          <w:t>Note 2 - Revenue</w:t>
        </w:r>
      </w:hyperlink>
      <w:r>
        <w:rPr>
          <w:color w:val="000000"/>
        </w:rPr>
        <w:t xml:space="preserve"> </w:t>
      </w:r>
      <w:r>
        <w:rPr>
          <w:rFonts w:ascii="Times New Roman;serif" w:hAnsi="Times New Roman;serif"/>
          <w:b w:val="false"/>
          <w:color w:val="000000"/>
          <w:sz w:val="20"/>
        </w:rPr>
        <w:t xml:space="preserve">in this Form 10-Q for our revenue recognition policy.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fluctuations in revenue by reportable segment for the three and six months ended June 30, 2026 and 2025 were as follows: </w:t>
      </w:r>
    </w:p>
    <w:tbl>
      <w:tblPr>
        <w:tblW w:w="10205" w:type="dxa"/>
        <w:jc w:val="left"/>
        <w:tblInd w:w="0" w:type="dxa"/>
        <w:tblLayout w:type="fixed"/>
        <w:tblCellMar>
          <w:top w:w="28" w:type="dxa"/>
          <w:left w:w="28" w:type="dxa"/>
          <w:bottom w:w="28" w:type="dxa"/>
          <w:right w:w="28" w:type="dxa"/>
        </w:tblCellMar>
      </w:tblPr>
      <w:tblGrid>
        <w:gridCol w:w="927"/>
        <w:gridCol w:w="623"/>
        <w:gridCol w:w="627"/>
        <w:gridCol w:w="391"/>
        <w:gridCol w:w="752"/>
        <w:gridCol w:w="220"/>
        <w:gridCol w:w="109"/>
        <w:gridCol w:w="109"/>
        <w:gridCol w:w="109"/>
        <w:gridCol w:w="242"/>
        <w:gridCol w:w="575"/>
        <w:gridCol w:w="134"/>
        <w:gridCol w:w="109"/>
        <w:gridCol w:w="109"/>
        <w:gridCol w:w="109"/>
        <w:gridCol w:w="280"/>
        <w:gridCol w:w="280"/>
        <w:gridCol w:w="281"/>
        <w:gridCol w:w="109"/>
        <w:gridCol w:w="109"/>
        <w:gridCol w:w="109"/>
        <w:gridCol w:w="224"/>
        <w:gridCol w:w="550"/>
        <w:gridCol w:w="124"/>
        <w:gridCol w:w="109"/>
        <w:gridCol w:w="109"/>
        <w:gridCol w:w="109"/>
        <w:gridCol w:w="365"/>
        <w:gridCol w:w="260"/>
        <w:gridCol w:w="689"/>
        <w:gridCol w:w="109"/>
        <w:gridCol w:w="109"/>
        <w:gridCol w:w="109"/>
        <w:gridCol w:w="240"/>
        <w:gridCol w:w="241"/>
        <w:gridCol w:w="545"/>
      </w:tblGrid>
      <w:tr>
        <w:trPr/>
        <w:tc>
          <w:tcPr>
            <w:tcW w:w="92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Revenue from acquisitions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Organic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Organic Revenue Growth</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Total Growth</w:t>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Government Relations Consulting</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27.3</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w:t>
            </w:r>
            <w:r>
              <w:rPr>
                <w:color w:val="000000"/>
              </w:rPr>
              <w:t> </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11.2</w:t>
            </w:r>
            <w:r>
              <w:rPr>
                <w:color w:val="000000"/>
              </w:rPr>
              <w:t> </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Corporate Communications &amp; Public Affairs Consulting</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18.1</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0.1</w:t>
            </w:r>
            <w:r>
              <w:rPr>
                <w:color w:val="000000"/>
              </w:rPr>
              <w:t> </w:t>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Compliance and Insights Services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3.1</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14.8</w:t>
            </w:r>
            <w:r>
              <w:rPr>
                <w:color w:val="000000"/>
              </w:rPr>
              <w:t>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14.8</w:t>
            </w:r>
            <w:r>
              <w:rPr>
                <w:color w:val="000000"/>
              </w:rPr>
              <w:t> </w:t>
            </w:r>
          </w:p>
        </w:tc>
        <w:tc>
          <w:tcPr>
            <w:tcW w:w="5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17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Total </w:t>
            </w:r>
          </w:p>
        </w:tc>
        <w:tc>
          <w:tcPr>
            <w:tcW w:w="3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1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$52.1</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48.6</w:t>
            </w:r>
            <w:r>
              <w:rPr>
                <w:color w:val="000000"/>
              </w:rPr>
              <w:t> </w:t>
            </w:r>
          </w:p>
        </w:tc>
        <w:tc>
          <w:tcPr>
            <w:tcW w:w="1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w:t>
            </w:r>
            <w:r>
              <w:rPr>
                <w:color w:val="000000"/>
              </w:rPr>
              <w:t> </w:t>
            </w:r>
          </w:p>
        </w:tc>
        <w:tc>
          <w:tcPr>
            <w:tcW w:w="6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7.3</w:t>
            </w:r>
            <w:r>
              <w:rPr>
                <w:color w:val="000000"/>
              </w:rPr>
              <w:t> </w:t>
            </w:r>
          </w:p>
        </w:tc>
        <w:tc>
          <w:tcPr>
            <w:tcW w:w="5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80"/>
        <w:jc w:val="center"/>
        <w:rPr/>
      </w:pPr>
      <w:r>
        <w:rPr/>
      </w:r>
    </w:p>
    <w:tbl>
      <w:tblPr>
        <w:tblW w:w="10205" w:type="dxa"/>
        <w:jc w:val="left"/>
        <w:tblInd w:w="0" w:type="dxa"/>
        <w:tblLayout w:type="fixed"/>
        <w:tblCellMar>
          <w:top w:w="28" w:type="dxa"/>
          <w:left w:w="28" w:type="dxa"/>
          <w:bottom w:w="28" w:type="dxa"/>
          <w:right w:w="28" w:type="dxa"/>
        </w:tblCellMar>
      </w:tblPr>
      <w:tblGrid>
        <w:gridCol w:w="912"/>
        <w:gridCol w:w="603"/>
        <w:gridCol w:w="607"/>
        <w:gridCol w:w="340"/>
        <w:gridCol w:w="811"/>
        <w:gridCol w:w="190"/>
        <w:gridCol w:w="109"/>
        <w:gridCol w:w="109"/>
        <w:gridCol w:w="109"/>
        <w:gridCol w:w="239"/>
        <w:gridCol w:w="568"/>
        <w:gridCol w:w="133"/>
        <w:gridCol w:w="109"/>
        <w:gridCol w:w="109"/>
        <w:gridCol w:w="109"/>
        <w:gridCol w:w="213"/>
        <w:gridCol w:w="623"/>
        <w:gridCol w:w="118"/>
        <w:gridCol w:w="109"/>
        <w:gridCol w:w="109"/>
        <w:gridCol w:w="109"/>
        <w:gridCol w:w="222"/>
        <w:gridCol w:w="545"/>
        <w:gridCol w:w="123"/>
        <w:gridCol w:w="109"/>
        <w:gridCol w:w="109"/>
        <w:gridCol w:w="109"/>
        <w:gridCol w:w="362"/>
        <w:gridCol w:w="254"/>
        <w:gridCol w:w="673"/>
        <w:gridCol w:w="109"/>
        <w:gridCol w:w="109"/>
        <w:gridCol w:w="109"/>
        <w:gridCol w:w="292"/>
        <w:gridCol w:w="203"/>
        <w:gridCol w:w="539"/>
      </w:tblGrid>
      <w:tr>
        <w:trPr/>
        <w:tc>
          <w:tcPr>
            <w:tcW w:w="91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2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Revenue from acquisitions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Organic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Organic Revenue Growth</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Total Growth</w:t>
            </w:r>
          </w:p>
        </w:tc>
      </w:tr>
      <w:tr>
        <w:trPr/>
        <w:tc>
          <w:tcPr>
            <w:tcW w:w="21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Government Relations Consulting</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58.7</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53.5</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w:t>
            </w:r>
            <w:r>
              <w:rPr>
                <w:color w:val="000000"/>
              </w:rPr>
              <w:t> </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9.8</w:t>
            </w:r>
            <w:r>
              <w:rPr>
                <w:color w:val="000000"/>
              </w:rPr>
              <w:t> </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1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Corporate Communications &amp; Public Affairs Consulting</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36.5</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28.2</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(0.9)</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29.5</w:t>
            </w:r>
            <w:r>
              <w:rPr>
                <w:color w:val="000000"/>
              </w:rPr>
              <w:t> </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1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Compliance and Insights Services</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7.1</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6.3</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w:t>
            </w:r>
            <w:r>
              <w:rPr>
                <w:color w:val="000000"/>
              </w:rPr>
              <w:t> </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12.8</w:t>
            </w:r>
            <w:r>
              <w:rPr>
                <w:color w:val="000000"/>
              </w:rPr>
              <w:t> </w:t>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12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Total </w:t>
            </w:r>
          </w:p>
        </w:tc>
        <w:tc>
          <w:tcPr>
            <w:tcW w:w="3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91.8 </w:t>
            </w:r>
          </w:p>
        </w:tc>
        <w:tc>
          <w:tcPr>
            <w:tcW w:w="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102.3</w:t>
            </w:r>
            <w:r>
              <w:rPr>
                <w:color w:val="000000"/>
              </w:rPr>
              <w:t>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87.9</w:t>
            </w:r>
            <w:r>
              <w:rPr>
                <w:color w:val="000000"/>
              </w:rPr>
              <w:t> </w:t>
            </w:r>
          </w:p>
        </w:tc>
        <w:tc>
          <w:tcPr>
            <w:tcW w:w="1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w:t>
            </w:r>
            <w:r>
              <w:rPr>
                <w:color w:val="000000"/>
              </w:rPr>
              <w:t> </w:t>
            </w:r>
          </w:p>
        </w:tc>
        <w:tc>
          <w:tcPr>
            <w:tcW w:w="6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16.3</w:t>
            </w:r>
            <w:r>
              <w:rPr>
                <w:color w:val="000000"/>
              </w:rPr>
              <w:t> </w:t>
            </w:r>
          </w:p>
        </w:tc>
        <w:tc>
          <w:tcPr>
            <w:tcW w:w="5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bl>
    <w:p>
      <w:pPr>
        <w:pStyle w:val="TextBody"/>
        <w:bidi w:val="0"/>
        <w:spacing w:lineRule="auto" w:line="288" w:before="0" w:after="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Refer to the Non-GAAP Financial Measures section below for the Company’s definition of Organic Revenue Growth.</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total revenue increased 7.3%, to $52.1 million for the three months ended June 30, 2026 compared to $48.6 million for the three months June 30, 2025, with Organic Revenue Growth contributing 3.9% of growth.</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total revenue increased 16.3%, to $102.3 million for the six months ended June 30, 2026 compared to $87.9 million for the six months ended June 30, 2025, with Organic Revenue Growth contributing 4.4% of growth.</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performance was supported by increased client demand, particularly within our Compliance and Insights Services segment and Government Relations Consulting segment as well as sustained demand for Corporate Communications &amp; Public Affairs Consulting. These increases demonstrate the stability of the Company’s core business operations, the dedication of our management teams across our member companies, and the critical importance of our work to our clients, with the balance of growth driven by the successful integrations of our acquisitions of TrailRunner (completed April 1, 2025) and Pine Cove (completed July 11, 2025).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Organic growth of 4.4% for the six months ended June 30, 2026 was primarily attributable to the strong organic growth in Compliance and Insights Services at 12.8%, as a result of high renewal rates, price increases, and new client wins, all together reflective of a unique and high value-added offering together with strong organic growth in our Government Relations segment at 6.3%.</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58.2% of the Group’s revenues stemmed from Government Relations as compared to the same period in 2025 of 56.2% , 34.8% came from Corporate Communications &amp; Public Affairs as compared to the same period in 2025 of 37.3%, and 6.9% from Compliance and Insights Services as compared to the same period in 2025 of 6.5%.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57.4% of the Company’s revenues were attributable to our Government Relations segment as compared to 60.8% during the six months ended June 30, 2025. That decrease was a result of the TrailRunner acquisition (completed April 1, 2025) which also led to an increase in our Corporate Communications &amp; Public Affairs segment, which increased to 35.7% during the six months ended June 30, 2026 compared to 32.0% in the prior year; 6.9% of our total revenues were from our Compliance and Insights Services segment, a decrease as compared to the previous year's 7.1%.</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Government Relations Consulting segment’s revenue increased by 11.2%, to $30.4 million for the three months ended June 30, 2026, compared to $27.3 million as reported for the three months ended June 30, 2025. This increase reflects Organic Revenue Growth of 7.4% in tandem with the acquisition of Pine Cove (completed July 11, 2025) and the acquisition of WPI (completed April 1,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Government Relations Consulting segment’s revenue increased by 9.8%, to $58.7 million for the six months ended June 30, 2026, compared to $53.5 million as reported for the six months ended June 30, 2025. This increase reflects Organic Revenue Growth of 6.3% in tandem with the acquisition of Pine Cove (completed July 11, 2025) and the acquisition of WPI (completed April 1,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Corporate Communications &amp; Public Affairs Consulting segment’s revenue increased by 0.1% to $18.2 million for the three months ended June 30, 2026, with negative organic growth of 3.2%, being offset by the impact of the acquisition of WPI (completed April 1, 2026). This segment is impacted by a post-election slowdown as the first half of 2025 carried an exceptional flow of post-election project work. The segment margin of 23.5% reflects that lower project volume.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Corporate Communications &amp; Public Affairs Consulting segment’s revenue increased by 29.5% to $36.5 million for the six months ended June 30, 2026, compared to $28.2 million for the six months ended June 30, 2025 with negative organic growth of 0.9%, being offset by the impact of the acquisitions of TrailRunner (completed April 1, 2025) and WPI (completed April 1, 2026).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Compliance and Insight Services segment’s revenue grew by 14.8% and 12.8% to $3.6 million and $7.1 million for the three and six months ended June 30, 2026, compared to $3.1 million and $6.3 million for the three and six months ended June 30, 2025, respectively. 100% of this growth was organic, driven by increasing demand for specialized services, including compliance, grant writing, and research-driven policy insights, and characterized by high renewal rates, favorable pricing and new clients wins, all together reflective of a unique and high value-added offering.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Group's revenue realized outside of the U.S. was $4.0 million and $6.8 million, or 7.7% and 6.6%, for the three and six months ended June 30, 2026, respectively, as compared to $2.3 million and $3.9 million, or 4.7% and 4.4%, for the three and six months ended June 30, 2025, respectively, being a result of our growing international presence resulting from our Pagefield, WPI, and TrailRunner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Cost of Services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components of cost of services:</w:t>
      </w:r>
    </w:p>
    <w:tbl>
      <w:tblPr>
        <w:tblW w:w="10205" w:type="dxa"/>
        <w:jc w:val="left"/>
        <w:tblInd w:w="0" w:type="dxa"/>
        <w:tblLayout w:type="fixed"/>
        <w:tblCellMar>
          <w:top w:w="28" w:type="dxa"/>
          <w:left w:w="28" w:type="dxa"/>
          <w:bottom w:w="28" w:type="dxa"/>
          <w:right w:w="28" w:type="dxa"/>
        </w:tblCellMar>
      </w:tblPr>
      <w:tblGrid>
        <w:gridCol w:w="835"/>
        <w:gridCol w:w="269"/>
        <w:gridCol w:w="271"/>
        <w:gridCol w:w="196"/>
        <w:gridCol w:w="481"/>
        <w:gridCol w:w="109"/>
        <w:gridCol w:w="109"/>
        <w:gridCol w:w="109"/>
        <w:gridCol w:w="109"/>
        <w:gridCol w:w="196"/>
        <w:gridCol w:w="481"/>
        <w:gridCol w:w="109"/>
        <w:gridCol w:w="109"/>
        <w:gridCol w:w="109"/>
        <w:gridCol w:w="109"/>
        <w:gridCol w:w="220"/>
        <w:gridCol w:w="422"/>
        <w:gridCol w:w="124"/>
        <w:gridCol w:w="109"/>
        <w:gridCol w:w="109"/>
        <w:gridCol w:w="109"/>
        <w:gridCol w:w="239"/>
        <w:gridCol w:w="242"/>
        <w:gridCol w:w="427"/>
        <w:gridCol w:w="109"/>
        <w:gridCol w:w="109"/>
        <w:gridCol w:w="109"/>
        <w:gridCol w:w="196"/>
        <w:gridCol w:w="481"/>
        <w:gridCol w:w="109"/>
        <w:gridCol w:w="109"/>
        <w:gridCol w:w="109"/>
        <w:gridCol w:w="109"/>
        <w:gridCol w:w="196"/>
        <w:gridCol w:w="466"/>
        <w:gridCol w:w="109"/>
        <w:gridCol w:w="109"/>
        <w:gridCol w:w="109"/>
        <w:gridCol w:w="109"/>
        <w:gridCol w:w="220"/>
        <w:gridCol w:w="422"/>
        <w:gridCol w:w="124"/>
        <w:gridCol w:w="109"/>
        <w:gridCol w:w="109"/>
        <w:gridCol w:w="109"/>
        <w:gridCol w:w="240"/>
        <w:gridCol w:w="241"/>
        <w:gridCol w:w="491"/>
      </w:tblGrid>
      <w:tr>
        <w:trPr/>
        <w:tc>
          <w:tcPr>
            <w:tcW w:w="83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 Change</w:t>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Salaries and other personnel costs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Staff cost - direct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4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accounting charge - direct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4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 term incentive program charges - direct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(76.7)</w:t>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(53.0)</w:t>
            </w:r>
          </w:p>
        </w:tc>
        <w:tc>
          <w:tcPr>
            <w:tcW w:w="4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Post-combination compensation - direct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w:t>
            </w:r>
          </w:p>
        </w:tc>
        <w:tc>
          <w:tcPr>
            <w:tcW w:w="4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Bonus - direct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4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salaries and other personnel costs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Office and other direct costs </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Amortization developed software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w:t>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w:t>
            </w:r>
          </w:p>
        </w:tc>
        <w:tc>
          <w:tcPr>
            <w:tcW w:w="4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Office costs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4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office and other direct costs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7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Cost of services </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40.8</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40.6</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4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81.8</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4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Salaries and other personnel costs represent our largest component of cost of services. Its principal components include employee salaries and benefits, share-based accounting charges, long term incentive program charges, post-combination compensation expense, and employee bonuses from operations that deliver services to our clients.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salaries and other personnel costs remained relatively flat at approximately $38.8 million. For the six months ended June 30, 2026, salaries and other personnel costs increased by 7.3% to $78.0 million compared to $72.7 million for the six months ended June 30, 2025. The overall increase of $5.3 million is driven by staff costs increasing in the amount of $7.4 million, of which $5.8 million is due to the acquisitions of TrailRunner (completed April 1, 2025) and Pine Cove (completed July 11, 2025) with the remainder being driven by our 2026 acquisitions. Bonus expenses increased by $1.0 million, with bonus expenses representing provisions for annual payments paid to senior executives and employees which are awarded based on the Company’s performance, the relative performance of their respective member company and for the individual meeting specific performance goals companywide. The increase is primarily attributable to the acquisitions completed in 2025 and 2026 along with the Company performance improving as compared to the previous year. These increases were partially offset by our non-cash post-combination compensation expense which decreased by $1.7 million and a $1.2 million decrease in our non-cash long term incentive program charges.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Office and other direct costs also represent a component of cost of services. Its principal component includes operating lease expenses for office space leased by the Company’s members and holding companies. Office and other direct costs increased by 10.8% and 14.6% in the three and six months ended June 30, 2026, respectively, to $2.0 million and $3.8 million, respectively, compared to $1.8 million and $3.3 million for the six months ended June 30, 2025, respectively. This increase was primarily a result of additional office spaces associated with the acquisitions of TrailRunner (completed April 1, 2025) and Pine Cove (completed July 11,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Salaries, general and administrative expenses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components of general and administrative expenses:</w:t>
      </w:r>
    </w:p>
    <w:tbl>
      <w:tblPr>
        <w:tblW w:w="10205" w:type="dxa"/>
        <w:jc w:val="left"/>
        <w:tblInd w:w="0" w:type="dxa"/>
        <w:tblLayout w:type="fixed"/>
        <w:tblCellMar>
          <w:top w:w="28" w:type="dxa"/>
          <w:left w:w="28" w:type="dxa"/>
          <w:bottom w:w="28" w:type="dxa"/>
          <w:right w:w="28" w:type="dxa"/>
        </w:tblCellMar>
      </w:tblPr>
      <w:tblGrid>
        <w:gridCol w:w="714"/>
        <w:gridCol w:w="309"/>
        <w:gridCol w:w="311"/>
        <w:gridCol w:w="196"/>
        <w:gridCol w:w="481"/>
        <w:gridCol w:w="109"/>
        <w:gridCol w:w="109"/>
        <w:gridCol w:w="109"/>
        <w:gridCol w:w="109"/>
        <w:gridCol w:w="196"/>
        <w:gridCol w:w="376"/>
        <w:gridCol w:w="109"/>
        <w:gridCol w:w="109"/>
        <w:gridCol w:w="109"/>
        <w:gridCol w:w="109"/>
        <w:gridCol w:w="220"/>
        <w:gridCol w:w="422"/>
        <w:gridCol w:w="124"/>
        <w:gridCol w:w="109"/>
        <w:gridCol w:w="109"/>
        <w:gridCol w:w="109"/>
        <w:gridCol w:w="278"/>
        <w:gridCol w:w="278"/>
        <w:gridCol w:w="427"/>
        <w:gridCol w:w="109"/>
        <w:gridCol w:w="109"/>
        <w:gridCol w:w="109"/>
        <w:gridCol w:w="196"/>
        <w:gridCol w:w="481"/>
        <w:gridCol w:w="109"/>
        <w:gridCol w:w="109"/>
        <w:gridCol w:w="109"/>
        <w:gridCol w:w="109"/>
        <w:gridCol w:w="196"/>
        <w:gridCol w:w="466"/>
        <w:gridCol w:w="109"/>
        <w:gridCol w:w="109"/>
        <w:gridCol w:w="109"/>
        <w:gridCol w:w="109"/>
        <w:gridCol w:w="220"/>
        <w:gridCol w:w="422"/>
        <w:gridCol w:w="124"/>
        <w:gridCol w:w="109"/>
        <w:gridCol w:w="109"/>
        <w:gridCol w:w="109"/>
        <w:gridCol w:w="278"/>
        <w:gridCol w:w="278"/>
        <w:gridCol w:w="487"/>
      </w:tblGrid>
      <w:tr>
        <w:trPr/>
        <w:tc>
          <w:tcPr>
            <w:tcW w:w="71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 Change</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Non-staff costs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38.3 </w:t>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44.8 </w:t>
            </w:r>
          </w:p>
        </w:tc>
        <w:tc>
          <w:tcPr>
            <w:tcW w:w="4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Staff cost - indirect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4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accounting charge - indirect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4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 term incentive program charges - indirect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324.0 </w:t>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118.4 </w:t>
            </w:r>
          </w:p>
        </w:tc>
        <w:tc>
          <w:tcPr>
            <w:tcW w:w="4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Bonus - indirect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Salaries, general and administrative</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4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21.4</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4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Salaries, general and administrative expenses comprise of general and administrative expenses, employee salaries, share-based accounting charges, long term incentive program charges, post-combination compensation expense, U.S. and UK public company and related costs, advisory costs, benefits and bonuses of employees employed in our corporate function.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Salaries, general and administrative expenses increased 26.6% in the three months ended June 30, 2026, to $12.1 million, compared to $9.5 million for the three months ended June 30, 2025. The increase of $2.5 million is primarily attributable to an increase of $1.3 million in audit, consulting, and legal fees incurred primarily related to additional work performed in support of the Company's public listing activities. Additionally, non-cash charges associated with the Company's long-term incentive program increased by $0.6 million, driven by the issuances in 2026, software license and information technology consulting expense increased by $0.3 million, and annual bonus expense increased by $0.1 million. </w:t>
      </w:r>
    </w:p>
    <w:p>
      <w:pPr>
        <w:pStyle w:val="TextBody"/>
        <w:bidi w:val="0"/>
        <w:spacing w:lineRule="auto" w:line="288" w:before="0" w:after="180"/>
        <w:jc w:val="left"/>
        <w:rPr/>
      </w:pPr>
      <w:r>
        <w:rPr>
          <w:rFonts w:ascii="Times New Roman;serif" w:hAnsi="Times New Roman;serif"/>
          <w:b w:val="false"/>
          <w:color w:val="000000"/>
          <w:sz w:val="20"/>
        </w:rPr>
        <w:t>Salaries, general and administrative expenses increased 25.5% in the six months ended June 30, 2026, to $21.4 million, compared to $17.0 million for the six months ended June 30, 2025. Of the $4.3 million increase, $1.4 million relates to audit, consulting, and legal fees incurred primarily related to additional work performed in support of the Company's public listing activities. $1.1 million of additional operating expenses related to the newly acquired companies in 2025 and 2026. Additionally, there was a $0.6 million increase in software license and IT consultant expense to expand the Company's technology footprint to support business growth and acquired entities, non-cash long term incentive program charges increased by $0.5 million</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0"/>
        </w:rPr>
        <w:t>and a $0.4 million increase in bad debt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Mergers and acquisitions expense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principal components of mergers and acquisitions expense include legal, audit and other advisory expenses, transaction taxes, and debt origination costs. Mergers and acquisitions expense increased by 883.1% in the three months ended June 30, 2026, to $0.8 million, compared to $0.1 million in the three months ended June 30, 2025. In the six months ended June 30, 2026, Mergers and acquisitions expense increased by 281.4% to $1.1 million, compared to $0.3 million in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 expense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components of depreciation and amortization expense:</w:t>
      </w:r>
    </w:p>
    <w:tbl>
      <w:tblPr>
        <w:tblW w:w="8884" w:type="dxa"/>
        <w:jc w:val="left"/>
        <w:tblInd w:w="0" w:type="dxa"/>
        <w:tblLayout w:type="fixed"/>
        <w:tblCellMar>
          <w:top w:w="28" w:type="dxa"/>
          <w:left w:w="28" w:type="dxa"/>
          <w:bottom w:w="28" w:type="dxa"/>
          <w:right w:w="28" w:type="dxa"/>
        </w:tblCellMar>
      </w:tblPr>
      <w:tblGrid>
        <w:gridCol w:w="1433"/>
        <w:gridCol w:w="1261"/>
        <w:gridCol w:w="1266"/>
        <w:gridCol w:w="274"/>
        <w:gridCol w:w="547"/>
        <w:gridCol w:w="152"/>
        <w:gridCol w:w="152"/>
        <w:gridCol w:w="152"/>
        <w:gridCol w:w="152"/>
        <w:gridCol w:w="274"/>
        <w:gridCol w:w="526"/>
        <w:gridCol w:w="152"/>
        <w:gridCol w:w="109"/>
        <w:gridCol w:w="109"/>
        <w:gridCol w:w="109"/>
        <w:gridCol w:w="248"/>
        <w:gridCol w:w="496"/>
        <w:gridCol w:w="138"/>
        <w:gridCol w:w="138"/>
        <w:gridCol w:w="138"/>
        <w:gridCol w:w="138"/>
        <w:gridCol w:w="248"/>
        <w:gridCol w:w="477"/>
        <w:gridCol w:w="195"/>
      </w:tblGrid>
      <w:tr>
        <w:trPr/>
        <w:tc>
          <w:tcPr>
            <w:tcW w:w="1433"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 technology</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Charged to cost of services</w:t>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 customer relations companies acquired</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 non-compete companies acquired</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Charged to depreciation and amortization expense</w:t>
            </w:r>
          </w:p>
        </w:tc>
        <w:tc>
          <w:tcPr>
            <w:tcW w:w="8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w:t>
            </w: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 expense</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principal components of depreciation and amortization expense include the amortization of intangible assets related to customer relationships, developed technology, and non-compete contracts.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decreased by 6.4% in the three months ended June 30, 2026, to $1.6 million, compared to $1.7 million in the three months ended June 30, 2025. In the six months ended June 30, 2026, depreciation and amortization expense increased by 6.7% to $3.3 million, compared to $3.0 million in the six months ended June 30, 2025 reflecting additional costs associated with the acquisitions of TrailRunner (completed April 1, 2025) and Pine Cove (completed July 11, 2025) along with the acquisitions completed in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Change in fair value of contingent consideration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Contingent consideration represents a liability that is settled through a combination of cash and shares of our common stock based on the respective purchase agreement. The amount ultimately paid is dependent on the achievement of certain operating results.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Change in fair value of contingent consideration represents changes in obligations relating to historical acquisitions, to the extent those obligations are not subject to vesting or claw-back provisions.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 decreased by 47.3% and increased by 168.8% in the three and six months ended June 30, 2026, to $0.9 million and $7.2 million, respectively, compared to $1.7 million and $2.7 million in the three and six months ended June 30, 2025, respectively. This increase is primarily the result of a non-cash remeasurement of the acquisition-related earn-out liabilities that were revised based on updated performance forecasts and valuation assumptions that occurred in 2025 Q4.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Gain on bargain purchase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Gain on bargain purchase comprises of the difference between the fair value of the net identifiable assets acquired and the purchase price paid, where the purchase price is lower than the fair value of the acquired assets. A significant part of the purchase price of our acquisitions is tied to continued employment, this part has been accounted for as post-combination compensation in the Company's Consolidated Statements of Operations. As a consequence, for certain acquisitions, the remaining book purchase price is lower than the tax purchase price. The reason for the bargain purchase gain is tied directly to the tax purchase price significantly exceeding the book purchase price and is not a reflection of a true bargain purchase of the actual intangible and tangible assets of these acquisitions.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 was a $0.8 million and $0.9 million gain on bargain purchase for the three and six months ended June 30, 2026, respectively, resulting from the Company's acquisitions in 2026 compared to none recognized in the three and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represents the interest income accrued on interest bearing accounts and financial instruments.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Interest income increased to $0.3 million in the three and six months ended June 30, 2026 as compared to less than $0.1 million and $0.1 million three and six months ended June 30, 2025, respectively. The increase in interest income is driven by the Company's increased cash balance in interest bearing accounts as a result of the Company's 2026 U.S. IPO.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0" w:after="180"/>
        <w:jc w:val="left"/>
        <w:rPr/>
      </w:pPr>
      <w:r>
        <w:rPr>
          <w:rFonts w:ascii="Times New Roman;serif" w:hAnsi="Times New Roman;serif"/>
          <w:b w:val="false"/>
          <w:color w:val="000000"/>
          <w:sz w:val="20"/>
        </w:rPr>
        <w:t xml:space="preserve">Interest expense represents the interest expense incurred under our Bank Credit Facilities as defined in </w:t>
      </w:r>
      <w:hyperlink w:anchor="ia205c5d90abd40f8965784bd20691379_82">
        <w:r>
          <w:rPr>
            <w:rStyle w:val="InternetLink"/>
            <w:rFonts w:ascii="Times New Roman;serif" w:hAnsi="Times New Roman;serif"/>
            <w:b w:val="false"/>
            <w:color w:val="0000FF"/>
            <w:sz w:val="20"/>
            <w:u w:val="single"/>
          </w:rPr>
          <w:t>Note 6. Notes Payable</w:t>
        </w:r>
      </w:hyperlink>
      <w:r>
        <w:rPr>
          <w:rFonts w:ascii="Times New Roman;serif" w:hAnsi="Times New Roman;serif"/>
          <w:b w:val="false"/>
          <w:color w:val="000000"/>
          <w:sz w:val="20"/>
        </w:rPr>
        <w:t xml:space="preserve">. Interest expense includes cash interest and debt discount amortization amounts.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Interest expense decreased by 16.1% and 1.8% in the three and six months ended June 30, 2026, to $0.7 million and $1.5 million, respectively, compared to $0.9 million and $1.5 million in the three and six months ended June 30, 2025, respectively, reflecting interest on increased principal amounts that are associated with new Bank Credit Facilities with financial institutions that were obtained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Segment Results of Operations</w:t>
      </w:r>
    </w:p>
    <w:p>
      <w:pPr>
        <w:pStyle w:val="TextBody"/>
        <w:bidi w:val="0"/>
        <w:spacing w:lineRule="auto" w:line="288" w:before="0" w:after="180"/>
        <w:jc w:val="left"/>
        <w:rPr/>
      </w:pPr>
      <w:r>
        <w:rPr>
          <w:rFonts w:ascii="Times New Roman;serif" w:hAnsi="Times New Roman;serif"/>
          <w:b w:val="false"/>
          <w:color w:val="000000"/>
          <w:sz w:val="20"/>
        </w:rPr>
        <w:t>As discussed in Note 7. Segment Reporting, we have three reportable segments as of June 30, 2026, Government Relations Consulting, Corporate Communications &amp; Public Affairs Consulting and Compliance and Insights Services. The results of operations of our segments are as follows</w:t>
      </w:r>
      <w:r>
        <w:rPr>
          <w:rFonts w:ascii="Times New Roman;serif" w:hAnsi="Times New Roman;serif"/>
          <w:b w:val="false"/>
          <w:color w:val="000000"/>
          <w:sz w:val="13"/>
        </w:rPr>
        <w:t>(1)</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80"/>
        <w:jc w:val="center"/>
        <w:rPr/>
      </w:pPr>
      <w:r>
        <w:rPr/>
      </w:r>
    </w:p>
    <w:tbl>
      <w:tblPr>
        <w:tblW w:w="10205" w:type="dxa"/>
        <w:jc w:val="left"/>
        <w:tblInd w:w="0" w:type="dxa"/>
        <w:tblLayout w:type="fixed"/>
        <w:tblCellMar>
          <w:top w:w="28" w:type="dxa"/>
          <w:left w:w="28" w:type="dxa"/>
          <w:bottom w:w="28" w:type="dxa"/>
          <w:right w:w="28" w:type="dxa"/>
        </w:tblCellMar>
      </w:tblPr>
      <w:tblGrid>
        <w:gridCol w:w="732"/>
        <w:gridCol w:w="373"/>
        <w:gridCol w:w="374"/>
        <w:gridCol w:w="288"/>
        <w:gridCol w:w="193"/>
        <w:gridCol w:w="290"/>
        <w:gridCol w:w="109"/>
        <w:gridCol w:w="109"/>
        <w:gridCol w:w="109"/>
        <w:gridCol w:w="279"/>
        <w:gridCol w:w="187"/>
        <w:gridCol w:w="290"/>
        <w:gridCol w:w="109"/>
        <w:gridCol w:w="109"/>
        <w:gridCol w:w="109"/>
        <w:gridCol w:w="267"/>
        <w:gridCol w:w="141"/>
        <w:gridCol w:w="382"/>
        <w:gridCol w:w="109"/>
        <w:gridCol w:w="109"/>
        <w:gridCol w:w="109"/>
        <w:gridCol w:w="241"/>
        <w:gridCol w:w="242"/>
        <w:gridCol w:w="427"/>
        <w:gridCol w:w="109"/>
        <w:gridCol w:w="109"/>
        <w:gridCol w:w="109"/>
        <w:gridCol w:w="288"/>
        <w:gridCol w:w="193"/>
        <w:gridCol w:w="290"/>
        <w:gridCol w:w="109"/>
        <w:gridCol w:w="109"/>
        <w:gridCol w:w="109"/>
        <w:gridCol w:w="279"/>
        <w:gridCol w:w="187"/>
        <w:gridCol w:w="290"/>
        <w:gridCol w:w="109"/>
        <w:gridCol w:w="109"/>
        <w:gridCol w:w="109"/>
        <w:gridCol w:w="252"/>
        <w:gridCol w:w="142"/>
        <w:gridCol w:w="314"/>
        <w:gridCol w:w="109"/>
        <w:gridCol w:w="109"/>
        <w:gridCol w:w="109"/>
        <w:gridCol w:w="241"/>
        <w:gridCol w:w="242"/>
        <w:gridCol w:w="492"/>
      </w:tblGrid>
      <w:tr>
        <w:trPr/>
        <w:tc>
          <w:tcPr>
            <w:tcW w:w="73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 Change</w:t>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Government Relations Consulting</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Staff costs</w:t>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4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Non-staff costs</w:t>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Segment Adjusted Pre-Bonus EBITDA</w:t>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14.5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27.4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Segment Adjusted Pre-Bonus EBITDA Margin</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i/>
                <w:color w:val="000000"/>
                <w:sz w:val="16"/>
              </w:rPr>
              <w:t>47.8</w:t>
            </w: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6"/>
              </w:rPr>
            </w:pPr>
            <w:r>
              <w:rPr>
                <w:rFonts w:ascii="Times New Roman;serif" w:hAnsi="Times New Roman;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46.7 </w:t>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1.1 </w:t>
            </w:r>
          </w:p>
        </w:tc>
        <w:tc>
          <w:tcPr>
            <w:tcW w:w="3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i/>
                <w:color w:val="000000"/>
                <w:sz w:val="16"/>
              </w:rPr>
              <w:t>46.7</w:t>
            </w: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6"/>
              </w:rPr>
            </w:pPr>
            <w:r>
              <w:rPr>
                <w:rFonts w:ascii="Times New Roman;serif" w:hAnsi="Times New Roman;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45.3 </w:t>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1.3 </w:t>
            </w:r>
          </w:p>
        </w:tc>
        <w:tc>
          <w:tcPr>
            <w:tcW w:w="3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Corporate Communications &amp; Public Affairs Consulting</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4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Staff costs</w:t>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Non-staff costs</w:t>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4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Segment Adjusted Pre-Bonus EBITDA</w:t>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Segment Adjusted Pre-Bonus EBITDA Margin</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i/>
                <w:color w:val="000000"/>
                <w:sz w:val="16"/>
              </w:rPr>
              <w:t>23.5</w:t>
            </w: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6"/>
              </w:rPr>
            </w:pPr>
            <w:r>
              <w:rPr>
                <w:rFonts w:ascii="Times New Roman;serif" w:hAnsi="Times New Roman;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27.6 </w:t>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(4.1)</w:t>
            </w:r>
          </w:p>
        </w:tc>
        <w:tc>
          <w:tcPr>
            <w:tcW w:w="3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i/>
                <w:color w:val="000000"/>
                <w:sz w:val="16"/>
              </w:rPr>
              <w:t>24.8</w:t>
            </w: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6"/>
              </w:rPr>
            </w:pPr>
            <w:r>
              <w:rPr>
                <w:rFonts w:ascii="Times New Roman;serif" w:hAnsi="Times New Roman;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25.7 </w:t>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(0.9)</w:t>
            </w:r>
          </w:p>
        </w:tc>
        <w:tc>
          <w:tcPr>
            <w:tcW w:w="3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Compliance and Insights Services</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Staff costs</w:t>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4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Non-staff costs</w:t>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80.6 </w:t>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81.0 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Segment Adjusted Pre-Bonus EBITDA</w:t>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Segment Adjusted Pre-Bonus EBITDA Margin</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i/>
                <w:color w:val="000000"/>
                <w:sz w:val="16"/>
              </w:rPr>
              <w:t>50.3</w:t>
            </w: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6"/>
              </w:rPr>
            </w:pPr>
            <w:r>
              <w:rPr>
                <w:rFonts w:ascii="Times New Roman;serif" w:hAnsi="Times New Roman;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55.1 </w:t>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(4.9)</w:t>
            </w:r>
          </w:p>
        </w:tc>
        <w:tc>
          <w:tcPr>
            <w:tcW w:w="3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i/>
                <w:color w:val="000000"/>
                <w:sz w:val="16"/>
              </w:rPr>
              <w:t>50.2</w:t>
            </w: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6"/>
              </w:rPr>
            </w:pPr>
            <w:r>
              <w:rPr>
                <w:rFonts w:ascii="Times New Roman;serif" w:hAnsi="Times New Roman;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54.2 </w:t>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(4.0)</w:t>
            </w:r>
          </w:p>
        </w:tc>
        <w:tc>
          <w:tcPr>
            <w:tcW w:w="3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Total</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4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Segment Adjusted Pre-Bonus EBITDA</w:t>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Segment Adjusted Pre-Bonus EBITDA margin</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i/>
                <w:color w:val="000000"/>
                <w:sz w:val="16"/>
              </w:rPr>
              <w:t>39.5</w:t>
            </w: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6"/>
              </w:rPr>
            </w:pPr>
            <w:r>
              <w:rPr>
                <w:rFonts w:ascii="Times New Roman;serif" w:hAnsi="Times New Roman;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40.1 </w:t>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(0.6)</w:t>
            </w:r>
          </w:p>
        </w:tc>
        <w:tc>
          <w:tcPr>
            <w:tcW w:w="3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i/>
                <w:color w:val="000000"/>
                <w:sz w:val="16"/>
              </w:rPr>
              <w:t>39.1</w:t>
            </w: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6"/>
              </w:rPr>
            </w:pPr>
            <w:r>
              <w:rPr>
                <w:rFonts w:ascii="Times New Roman;serif" w:hAnsi="Times New Roman;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39.7 </w:t>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(0.6)</w:t>
            </w:r>
          </w:p>
        </w:tc>
        <w:tc>
          <w:tcPr>
            <w:tcW w:w="3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Unallocated corporate costs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(4.3)</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(47.7)</w:t>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(8.7)</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w:t>
            </w:r>
          </w:p>
        </w:tc>
        <w:tc>
          <w:tcPr>
            <w:tcW w:w="4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Unallocated corporate costs % of revenue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6"/>
              </w:rPr>
            </w:pPr>
            <w:r>
              <w:rPr>
                <w:rFonts w:ascii="Times New Roman;serif" w:hAnsi="Times New Roman;serif"/>
                <w:b/>
                <w:i/>
                <w:color w:val="000000"/>
                <w:sz w:val="16"/>
              </w:rPr>
              <w:t>(8.2)</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6"/>
              </w:rPr>
            </w:pPr>
            <w:r>
              <w:rPr>
                <w:rFonts w:ascii="Times New Roman;serif" w:hAnsi="Times New Roman;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(6.0)</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(2.2)</w:t>
            </w:r>
          </w:p>
        </w:tc>
        <w:tc>
          <w:tcPr>
            <w:tcW w:w="3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6"/>
              </w:rPr>
            </w:pPr>
            <w:r>
              <w:rPr>
                <w:rFonts w:ascii="Times New Roman;serif" w:hAnsi="Times New Roman;serif"/>
                <w:b/>
                <w:i/>
                <w:color w:val="000000"/>
                <w:sz w:val="16"/>
              </w:rPr>
              <w:t>(8.5)</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6"/>
              </w:rPr>
            </w:pPr>
            <w:r>
              <w:rPr>
                <w:rFonts w:ascii="Times New Roman;serif" w:hAnsi="Times New Roman;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(7.5)</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(1.0)</w:t>
            </w:r>
          </w:p>
        </w:tc>
        <w:tc>
          <w:tcPr>
            <w:tcW w:w="3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Unallocated bonus expense</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(4.0)</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(7.9)</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w:t>
            </w:r>
          </w:p>
        </w:tc>
        <w:tc>
          <w:tcPr>
            <w:tcW w:w="4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Unallocated bonus expense % of revenue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6"/>
              </w:rPr>
            </w:pPr>
            <w:r>
              <w:rPr>
                <w:rFonts w:ascii="Times New Roman;serif" w:hAnsi="Times New Roman;serif"/>
                <w:b/>
                <w:i/>
                <w:color w:val="000000"/>
                <w:sz w:val="16"/>
              </w:rPr>
              <w:t>(7.7)</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6"/>
              </w:rPr>
            </w:pPr>
            <w:r>
              <w:rPr>
                <w:rFonts w:ascii="Times New Roman;serif" w:hAnsi="Times New Roman;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(7.7)</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6"/>
              </w:rPr>
            </w:pPr>
            <w:r>
              <w:rPr>
                <w:rFonts w:ascii="Times New Roman;serif" w:hAnsi="Times New Roman;serif"/>
                <w:b/>
                <w:i/>
                <w:color w:val="000000"/>
                <w:sz w:val="16"/>
              </w:rPr>
              <w:t>(7.8)</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6"/>
              </w:rPr>
            </w:pPr>
            <w:r>
              <w:rPr>
                <w:rFonts w:ascii="Times New Roman;serif" w:hAnsi="Times New Roman;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(7.8)</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0.1 </w:t>
            </w:r>
          </w:p>
        </w:tc>
        <w:tc>
          <w:tcPr>
            <w:tcW w:w="3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Adjusted EBITDA</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23.4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Adjusted EBITDA Margin</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16"/>
              </w:rPr>
              <w:t>23.5</w:t>
            </w: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6"/>
              </w:rPr>
            </w:pPr>
            <w:r>
              <w:rPr>
                <w:rFonts w:ascii="Times New Roman;serif" w:hAnsi="Times New Roman;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26.4 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(2.9)</w:t>
            </w:r>
          </w:p>
        </w:tc>
        <w:tc>
          <w:tcPr>
            <w:tcW w:w="3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6"/>
              </w:rPr>
            </w:pPr>
            <w:r>
              <w:rPr>
                <w:rFonts w:ascii="Times New Roman;serif" w:hAnsi="Times New Roman;serif"/>
                <w:b w:val="false"/>
                <w:i/>
                <w:color w:val="000000"/>
                <w:sz w:val="16"/>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16"/>
              </w:rPr>
              <w:t>22.9</w:t>
            </w: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6"/>
              </w:rPr>
            </w:pPr>
            <w:r>
              <w:rPr>
                <w:rFonts w:ascii="Times New Roman;serif" w:hAnsi="Times New Roman;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24.4 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(1)Table may not sum due to immaterial rounding differences.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staff costs for the three months ended June 30, 2026 for the Government Relations Consulting segment increased by $0.8 million, primarily a result of the acquisitions of Pine Cove (completed July 11, 2025) and the acquisition of WPI (completed April 1, 2026). Furthermore, for the three months ended June 30, 2026, the staff costs for the Corporate Communications &amp; Public Affairs Consulting segment increased $0.5 million, primarily a result of the WPI acquisition.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staff costs for the six months ended June 30, 2026 for the Government Relations Consulting segment increased by $1.1 million, primarily a result of the acquisitions of Pine Cove (completed July 11, 2025). Furthermore, for the six months ended June 30, 2026, the staff costs for the Corporate Communications &amp; Public Affairs Consulting segment increased $5.1 million, which reflects the acquisitions of TrailRunner (completed April 1, 2025) and WPI (completed April 1, 2026). </w:t>
      </w:r>
    </w:p>
    <w:p>
      <w:pPr>
        <w:pStyle w:val="TextBody"/>
        <w:bidi w:val="0"/>
        <w:spacing w:lineRule="auto" w:line="288" w:before="0" w:after="180"/>
        <w:jc w:val="left"/>
        <w:rPr/>
      </w:pPr>
      <w:r>
        <w:rPr>
          <w:rFonts w:ascii="Times New Roman;serif" w:hAnsi="Times New Roman;serif"/>
          <w:b w:val="false"/>
          <w:color w:val="000000"/>
          <w:sz w:val="20"/>
        </w:rPr>
        <w:t>Government Relations Consulting segment Adjusted Pre-Bonus EBITDA increased by $1.8 million, or 13.9% for the three months ended June 30, 2026, driven by $3.1 million</w:t>
      </w:r>
      <w:r>
        <w:rPr>
          <w:color w:val="000000"/>
        </w:rPr>
        <w:t xml:space="preserve"> </w:t>
      </w:r>
      <w:r>
        <w:rPr>
          <w:rFonts w:ascii="Times New Roman;serif" w:hAnsi="Times New Roman;serif"/>
          <w:b w:val="false"/>
          <w:color w:val="000000"/>
          <w:sz w:val="20"/>
        </w:rPr>
        <w:t>higher revenue for the segment, offset by increases of $1.1 million of staff costs and $0.5 million</w:t>
      </w:r>
      <w:r>
        <w:rPr>
          <w:color w:val="000000"/>
        </w:rPr>
        <w:t xml:space="preserve"> </w:t>
      </w:r>
      <w:r>
        <w:rPr>
          <w:rFonts w:ascii="Times New Roman;serif" w:hAnsi="Times New Roman;serif"/>
          <w:b w:val="false"/>
          <w:color w:val="000000"/>
          <w:sz w:val="16"/>
        </w:rPr>
        <w:t>of</w:t>
      </w:r>
      <w:r>
        <w:rPr>
          <w:color w:val="000000"/>
        </w:rPr>
        <w:t xml:space="preserve"> </w:t>
      </w:r>
      <w:r>
        <w:rPr>
          <w:rFonts w:ascii="Times New Roman;serif" w:hAnsi="Times New Roman;serif"/>
          <w:b w:val="false"/>
          <w:color w:val="000000"/>
          <w:sz w:val="20"/>
        </w:rPr>
        <w:t>non-staff costs a result of increased business and the acquisition of WPI (completed April 1, 2026).</w:t>
      </w:r>
    </w:p>
    <w:p>
      <w:pPr>
        <w:pStyle w:val="TextBody"/>
        <w:bidi w:val="0"/>
        <w:spacing w:lineRule="auto" w:line="288" w:before="0" w:after="180"/>
        <w:jc w:val="left"/>
        <w:rPr/>
      </w:pPr>
      <w:r>
        <w:rPr>
          <w:rFonts w:ascii="Times New Roman;serif" w:hAnsi="Times New Roman;serif"/>
          <w:b w:val="false"/>
          <w:color w:val="000000"/>
          <w:sz w:val="20"/>
        </w:rPr>
        <w:t>Government Relations Consulting segment Adjusted Pre-Bonus EBITDA increased by $3.2 million, or 13.1% for the six months ended June 30, 2026, driven by $5.3 million</w:t>
      </w:r>
      <w:r>
        <w:rPr>
          <w:color w:val="000000"/>
        </w:rPr>
        <w:t xml:space="preserve"> </w:t>
      </w:r>
      <w:r>
        <w:rPr>
          <w:rFonts w:ascii="Times New Roman;serif" w:hAnsi="Times New Roman;serif"/>
          <w:b w:val="false"/>
          <w:color w:val="000000"/>
          <w:sz w:val="20"/>
        </w:rPr>
        <w:t xml:space="preserve">higher revenue for the segment, offset by increases of $1.1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pPr>
      <w:r>
        <w:rPr>
          <w:rFonts w:ascii="Times New Roman;serif" w:hAnsi="Times New Roman;serif"/>
          <w:b w:val="false"/>
          <w:color w:val="000000"/>
          <w:sz w:val="20"/>
        </w:rPr>
        <w:t>of staff costs and $0.9 million</w:t>
      </w:r>
      <w:r>
        <w:rPr>
          <w:color w:val="000000"/>
        </w:rPr>
        <w:t xml:space="preserve"> </w:t>
      </w:r>
      <w:r>
        <w:rPr>
          <w:rFonts w:ascii="Times New Roman;serif" w:hAnsi="Times New Roman;serif"/>
          <w:b w:val="false"/>
          <w:color w:val="000000"/>
          <w:sz w:val="16"/>
        </w:rPr>
        <w:t>of</w:t>
      </w:r>
      <w:r>
        <w:rPr>
          <w:color w:val="000000"/>
        </w:rPr>
        <w:t xml:space="preserve"> </w:t>
      </w:r>
      <w:r>
        <w:rPr>
          <w:rFonts w:ascii="Times New Roman;serif" w:hAnsi="Times New Roman;serif"/>
          <w:b w:val="false"/>
          <w:color w:val="000000"/>
          <w:sz w:val="20"/>
        </w:rPr>
        <w:t>non-staff costs a result of increased business and the acquisition of WPI (completed April 1,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Corporate Communications &amp; Public Affair Consulting segment Adjusted Pre-Bonus EBITDA decreased by $0.7 million, or 14.8% for the three months ended June 30, 2026, as a consequence of the post-election slowdown as the first half of 2025 carried an exceptional flow of post-election project work. The segment margin of 23.5% reflects that lower project volume.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Corporate Communications &amp; Public Affair Consulting segment Adjusted Pre-Bonus EBITDA increased by $1.8 million, or 25.1% for the six months ended June 30, 2026, reflecting the acquisitions of TrailRunner (completed April 1, 2025) and WPI (completed April 1, 2026) offsetting the post-election slowdown discussed earlier.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Compliance and Insights Services segment Adjusted Pre-Bonus EBITDA increased by $0.1 million and $0.2 million, or 4.7% and 4.5% for the three and six months ended June 30, 2026, respectively, reflecting strong organic growth and strong pricing of subscription contracts in this area, in combination with the increased use of technology in servicing our clients.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use a variety of financial and operating metrics to analyze our performance. These metrics are significant factors in assessing our operating results and profitability. These financial and operating metrics include Adjusted EBITDA, Adjusted EBITDA margin, Adjusted EBITDA Including M&amp;A expense, Adjusted net income, Adjusted EPS basic, Adjusted EPS fully diluted, Organic Revenue Growth, and Adjusted Free Cash Flow which are financial measures not recognized under U.S. GAAP.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non-GAAP financial measures are used by management to measure our operating performance, but may not be directly comparable to similar measures, such as EBITDA or Adjusted EBITDA, relied on or reported by other companies, including other companies in our industry. We believe excluding items that neither relate to the ordinary course of business nor reflect our underlying business operating performance, such as equity-based compensation, the amortization of acquired intangible assets, acquisition-related post-combination compensation and contingent consideration, gains on bargain purchase price, interest and tax enables meaningful period-to-period comparisons of our operating performance. We also use these non-GAAP financial measures when publicly providing our business outlook, for internal management purposes, and as a basis for evaluating potential acquisitions and dispositions.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full description of our Non-GAAP Financial Measures please refer to page 47 of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primary sources of liquidity have been cash flows from operations and bank borrowings, and our principal uses of cash flows from operations include investment in strategic acquisitions and distributions to our shareholders.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fund future acquisitions, capital expenditures and working capital, and to make scheduled payments of principal, or to pay the interest on, or to refinance, our indebtedness, will depend on our future performance and our ability to generate cash, which, to a certain extent, is subject to general economic, financial, competitive, legislative, legal, regulatory and other factors that are beyond our control. We believe that our cash flows from operating activities and bank borrowings will be sufficient to fund our anticipated acquisitions, capital expenditure, working capital requirements and debt service requirements as they become due. </w:t>
      </w:r>
    </w:p>
    <w:p>
      <w:pPr>
        <w:pStyle w:val="TextBody"/>
        <w:bidi w:val="0"/>
        <w:spacing w:lineRule="auto" w:line="268" w:before="0" w:after="0"/>
        <w:jc w:val="left"/>
        <w:rPr/>
      </w:pPr>
      <w:r>
        <w:rPr>
          <w:rFonts w:ascii="Times New Roman;serif" w:hAnsi="Times New Roman;serif"/>
          <w:b w:val="false"/>
          <w:color w:val="000000"/>
          <w:sz w:val="20"/>
        </w:rPr>
        <w:t>Our working capital cycle typically peaks during the first and second quarter of the year due to the timing of payments for incentive compensation, income taxes and contingent purchase price obligations. In addition, we have contractual obligations related to our long-term debt (principal and interest payments), recurring business operations, lease obligations, and acquisition-related obligations. Our principal discretionary cash spending includes dividend payments to common shareholders and strategic acquisitions. We have adjusted our dividend policy in January 2025, approximately halving the dividend paid per share, in order to preserve</w:t>
      </w:r>
      <w:r>
        <w:rPr>
          <w:color w:val="000000"/>
        </w:rPr>
        <w:t xml:space="preserve"> </w:t>
      </w:r>
      <w:r>
        <w:rPr>
          <w:rFonts w:ascii="Times New Roman;serif" w:hAnsi="Times New Roman;serif"/>
          <w:b w:val="false"/>
          <w:color w:val="000000"/>
          <w:sz w:val="20"/>
        </w:rPr>
        <w:t xml:space="preserve">capital for future M&amp;A opportunities. We anticipate continuing to avail ourself of debt facilities, however management will continue to consider all available sources of capital.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Historical cash flows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as reported in our accompanying consolidated financial statements:</w:t>
      </w:r>
    </w:p>
    <w:tbl>
      <w:tblPr>
        <w:tblW w:w="9023" w:type="dxa"/>
        <w:jc w:val="left"/>
        <w:tblInd w:w="0" w:type="dxa"/>
        <w:tblLayout w:type="fixed"/>
        <w:tblCellMar>
          <w:top w:w="28" w:type="dxa"/>
          <w:left w:w="28" w:type="dxa"/>
          <w:bottom w:w="28" w:type="dxa"/>
          <w:right w:w="28" w:type="dxa"/>
        </w:tblCellMar>
      </w:tblPr>
      <w:tblGrid>
        <w:gridCol w:w="1609"/>
        <w:gridCol w:w="1409"/>
        <w:gridCol w:w="1421"/>
        <w:gridCol w:w="196"/>
        <w:gridCol w:w="481"/>
        <w:gridCol w:w="109"/>
        <w:gridCol w:w="109"/>
        <w:gridCol w:w="109"/>
        <w:gridCol w:w="109"/>
        <w:gridCol w:w="196"/>
        <w:gridCol w:w="451"/>
        <w:gridCol w:w="109"/>
        <w:gridCol w:w="109"/>
        <w:gridCol w:w="109"/>
        <w:gridCol w:w="109"/>
        <w:gridCol w:w="198"/>
        <w:gridCol w:w="472"/>
        <w:gridCol w:w="111"/>
        <w:gridCol w:w="109"/>
        <w:gridCol w:w="109"/>
        <w:gridCol w:w="109"/>
        <w:gridCol w:w="383"/>
        <w:gridCol w:w="383"/>
        <w:gridCol w:w="514"/>
      </w:tblGrid>
      <w:tr>
        <w:trPr/>
        <w:tc>
          <w:tcPr>
            <w:tcW w:w="16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(3,155.4)</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(319.4)</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Net increase (decrease) in cash and cash equivalents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447.5 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as of beginning of year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3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as of end of year</w:t>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36.9</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277.1 </w:t>
            </w:r>
          </w:p>
        </w:tc>
        <w:tc>
          <w:tcPr>
            <w:tcW w:w="51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Cash flows used in operating activities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$9.1 million for the six months ended June 30, 2026, compared to net cash provided by operating activities of $0.3 million for the six months ended June 30, 2025. This decrease of $8.8 million was attributable to the Company's investment in working capital. In H1 2026, contract and unbilled receivables increased by $10.3 million in conjunction with accounts payable and accrued expenses decreasing by $6.3 million, totaling a $16.6 million investment; while in H1 2025, the investment in working capital was less pronounced at $12.1 million ($7.9 million increase in contract and unbilled receivables and $4.2 million decrease in accounts payable and accrued expenses). The result was an increased investment in working capital of $4.5 million in the six months ended June 30, 2026 compared to the six months ended June 30, 2025. The remainder of the change is primarily driven by the provision for deferred income taxes increasing $4.6 million in H1 2026 compared to $1.4 million in the six months ended June 30, 2025, and a decrease in contingent consideration of $1.4 million in H1 2026 versus a negligible change in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Cash flows used in investing activities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Cash flows used in investing activities was $0.8 million for the six months ended June 30, 2026, compared to $18.6 million for the six months ended June 30, 2025, representing a decrease of $17.8 million, or 95.5%. The cash invested in H1 2026 primarily related to the acquisition of Westminster Policy Partners Limited (completed April 1, 2026), net of cash acquired, while the cash used in H1 2025 primarily related to the acquisition of TrailRunner (completed April 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Cash flows provided by financing activities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Cash flows provided by financing activities were $26.5 million for the six months ended June 30, 2026, compared to $14.1 million for the six months ended June 30, 2025. In H1 2026, the cash flows provided by financing activities was primarily a result of the 2026 U.S. IPO in January 2026, while in H1 2025 financing cash flow resulted from the acquisition of new Bank Credit Facilities (as defined above) for the TrailRunner acquisition, in both years partially offset by repayment on bank facilities and dividend payments.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to our GAAP statement of cash flows, we use a non</w:t>
        <w:noBreakHyphen/>
        <w:t>GAAP liquidity measure, Adjusted Free Cash Flow, to evaluate our cash generation. Adjusted Free Cash Flow should be viewed as supplemental to, and not a substitute for, GAAP net cash used in operating activities and total changes in cash and cash equivalents.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net cash used in operating activities, as reported under GAAP, to Adjusted Free Cash Flow and other components of changes in cash and cash equivalents: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80"/>
        <w:jc w:val="center"/>
        <w:rPr/>
      </w:pPr>
      <w:r>
        <w:rPr/>
      </w:r>
    </w:p>
    <w:tbl>
      <w:tblPr>
        <w:tblW w:w="10205" w:type="dxa"/>
        <w:jc w:val="left"/>
        <w:tblInd w:w="0" w:type="dxa"/>
        <w:tblLayout w:type="fixed"/>
        <w:tblCellMar>
          <w:top w:w="28" w:type="dxa"/>
          <w:left w:w="28" w:type="dxa"/>
          <w:bottom w:w="28" w:type="dxa"/>
          <w:right w:w="28" w:type="dxa"/>
        </w:tblCellMar>
      </w:tblPr>
      <w:tblGrid>
        <w:gridCol w:w="2044"/>
        <w:gridCol w:w="1770"/>
        <w:gridCol w:w="1775"/>
        <w:gridCol w:w="196"/>
        <w:gridCol w:w="481"/>
        <w:gridCol w:w="109"/>
        <w:gridCol w:w="109"/>
        <w:gridCol w:w="109"/>
        <w:gridCol w:w="109"/>
        <w:gridCol w:w="196"/>
        <w:gridCol w:w="466"/>
        <w:gridCol w:w="109"/>
        <w:gridCol w:w="109"/>
        <w:gridCol w:w="109"/>
        <w:gridCol w:w="109"/>
        <w:gridCol w:w="198"/>
        <w:gridCol w:w="472"/>
        <w:gridCol w:w="111"/>
        <w:gridCol w:w="109"/>
        <w:gridCol w:w="109"/>
        <w:gridCol w:w="109"/>
        <w:gridCol w:w="390"/>
        <w:gridCol w:w="391"/>
        <w:gridCol w:w="516"/>
      </w:tblGrid>
      <w:tr>
        <w:trPr/>
        <w:tc>
          <w:tcPr>
            <w:tcW w:w="2044"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5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5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Operating Activities - as reported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(3,155.4)</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Prepaid post-combination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Change in other liability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62.9 </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Change in contingent consideration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51,139.4 </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Capex</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(580.3)</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Adjusted Free Cash Flow </w:t>
            </w:r>
            <w:r>
              <w:rPr>
                <w:rFonts w:ascii="Times New Roman;serif" w:hAnsi="Times New Roman;serif"/>
                <w:b w:val="false"/>
                <w:color w:val="000000"/>
                <w:sz w:val="18"/>
              </w:rPr>
              <w:t>(Non-GAAP)</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acquisitions, net of cash acquired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96.7 </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Payments included in Cash flow from Operations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Payments included in Cash flow from Financing</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 related to acquisitions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notes payable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58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received for notes receivable - related parties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 of note payable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 related to debt financing</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deferred equity offering costs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U.S. initial public offering, net of underwriting fees of $3.0 million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 related to equity financing</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649.4 </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 changes on cash and cash equivalents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(319.4)</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Movement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447.5 </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Adjusted Free Cash Flow is a non</w:t>
        <w:noBreakHyphen/>
        <w:t>GAAP liquidity measure. It adjusts GAAP net cash used in operating activities for acquisition</w:t>
        <w:noBreakHyphen/>
        <w:t>related and capital expenditure cash flows as described above. These are cash outflows that recur in connection with our acquisition strategy and ongoing investment needs, and Adjusted Free Cash Flow should not be construed as representing additional cash available for use.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Future Capital Requirements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actively seeking to expand our portfolio of member companies internationally with strategically and financially attractive opportunities while adding complementary specializations. We expect to fund the purchase price for such acquisitions with net cash from operating activities and a combination of new stock issuance and debt financing.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capital expenditures principally include investments in office build-outs and small equipment, and have not historically been material to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Contractual Commitments and Contingencies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Contractual obligations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principal contractual obligations consist of our obligations in respect of financial indebtedness that is owed under our credit facilities. In addition, we have obligations under leases, trade and other payables, capital commitments and other contractual commitments. Finally, we have earnout obligations under acquisition agreements. We expect that our contractual commitments may evolve over time in response to current business and market conditions, with the result that future amounts due may differ considerably from the expected amounts payable set out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80"/>
        <w:jc w:val="center"/>
        <w:rPr/>
      </w:pPr>
      <w:r>
        <w:rPr/>
      </w:r>
    </w:p>
    <w:tbl>
      <w:tblPr>
        <w:tblW w:w="10013" w:type="dxa"/>
        <w:jc w:val="left"/>
        <w:tblInd w:w="0" w:type="dxa"/>
        <w:tblLayout w:type="fixed"/>
        <w:tblCellMar>
          <w:top w:w="28" w:type="dxa"/>
          <w:left w:w="28" w:type="dxa"/>
          <w:bottom w:w="28" w:type="dxa"/>
          <w:right w:w="28" w:type="dxa"/>
        </w:tblCellMar>
      </w:tblPr>
      <w:tblGrid>
        <w:gridCol w:w="1049"/>
        <w:gridCol w:w="920"/>
        <w:gridCol w:w="925"/>
        <w:gridCol w:w="413"/>
        <w:gridCol w:w="825"/>
        <w:gridCol w:w="231"/>
        <w:gridCol w:w="109"/>
        <w:gridCol w:w="109"/>
        <w:gridCol w:w="109"/>
        <w:gridCol w:w="196"/>
        <w:gridCol w:w="481"/>
        <w:gridCol w:w="109"/>
        <w:gridCol w:w="109"/>
        <w:gridCol w:w="109"/>
        <w:gridCol w:w="109"/>
        <w:gridCol w:w="196"/>
        <w:gridCol w:w="481"/>
        <w:gridCol w:w="109"/>
        <w:gridCol w:w="109"/>
        <w:gridCol w:w="109"/>
        <w:gridCol w:w="109"/>
        <w:gridCol w:w="196"/>
        <w:gridCol w:w="481"/>
        <w:gridCol w:w="109"/>
        <w:gridCol w:w="109"/>
        <w:gridCol w:w="109"/>
        <w:gridCol w:w="109"/>
        <w:gridCol w:w="205"/>
        <w:gridCol w:w="505"/>
        <w:gridCol w:w="116"/>
        <w:gridCol w:w="109"/>
        <w:gridCol w:w="109"/>
        <w:gridCol w:w="109"/>
        <w:gridCol w:w="196"/>
        <w:gridCol w:w="481"/>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Payments due by</w:t>
            </w:r>
          </w:p>
        </w:tc>
      </w:tr>
      <w:tr>
        <w:trPr/>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Contractual obligations</w:t>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color w:val="000000"/>
                <w:sz w:val="18"/>
              </w:rPr>
            </w:pPr>
            <w:r>
              <w:rPr>
                <w:rFonts w:ascii="Times New Roman;serif" w:hAnsi="Times New Roman;serif"/>
                <w:b/>
                <w:color w:val="000000"/>
                <w:sz w:val="18"/>
              </w:rPr>
              <w:t>Debt obligations (excluding interest)</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4.7</w:t>
            </w: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42.2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color w:val="000000"/>
                <w:sz w:val="18"/>
              </w:rPr>
            </w:pPr>
            <w:r>
              <w:rPr>
                <w:rFonts w:ascii="Times New Roman;serif" w:hAnsi="Times New Roman;serif"/>
                <w:b/>
                <w:color w:val="000000"/>
                <w:sz w:val="18"/>
              </w:rPr>
              <w:t>Operating lease obligations</w:t>
            </w:r>
          </w:p>
        </w:tc>
        <w:tc>
          <w:tcPr>
            <w:tcW w:w="1238"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3.2</w:t>
            </w: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36.9</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Total </w:t>
            </w:r>
          </w:p>
        </w:tc>
        <w:tc>
          <w:tcPr>
            <w:tcW w:w="4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7.9</w:t>
            </w:r>
            <w:r>
              <w:rPr>
                <w:color w:val="000000"/>
              </w:rPr>
              <w:t> </w:t>
            </w:r>
          </w:p>
        </w:tc>
        <w:tc>
          <w:tcPr>
            <w:tcW w:w="2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17.5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14.4</w:t>
            </w:r>
            <w:r>
              <w:rPr>
                <w:color w:val="000000"/>
              </w:rPr>
              <w:t>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79.1</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Financial Obligations </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Bank Credit Facilities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was no balance outstanding under the 2023 Facility 1; $2.6 million outstanding under the 2023 Facility 2; $4.5 million outstanding under the 2024 Term Loan A; $14.3 million under the 2024 Term Loan B; and $20.9 million outstanding under the 2025 Term Loan C.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under the 2023 Facility 1, we had capacity to re-borrow up to $3.0 million, less any outstanding letters of credit, or 80% of our eligible receivables, whichever is less.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the principal maturities under the Bank Credit Facilities were as follows:</w:t>
      </w:r>
    </w:p>
    <w:tbl>
      <w:tblPr>
        <w:tblW w:w="10205" w:type="dxa"/>
        <w:jc w:val="left"/>
        <w:tblInd w:w="0" w:type="dxa"/>
        <w:tblLayout w:type="fixed"/>
        <w:tblCellMar>
          <w:top w:w="28" w:type="dxa"/>
          <w:left w:w="28" w:type="dxa"/>
          <w:bottom w:w="28" w:type="dxa"/>
          <w:right w:w="28" w:type="dxa"/>
        </w:tblCellMar>
      </w:tblPr>
      <w:tblGrid>
        <w:gridCol w:w="1100"/>
        <w:gridCol w:w="967"/>
        <w:gridCol w:w="974"/>
        <w:gridCol w:w="296"/>
        <w:gridCol w:w="591"/>
        <w:gridCol w:w="165"/>
        <w:gridCol w:w="109"/>
        <w:gridCol w:w="109"/>
        <w:gridCol w:w="109"/>
        <w:gridCol w:w="368"/>
        <w:gridCol w:w="735"/>
        <w:gridCol w:w="204"/>
        <w:gridCol w:w="109"/>
        <w:gridCol w:w="109"/>
        <w:gridCol w:w="109"/>
        <w:gridCol w:w="330"/>
        <w:gridCol w:w="811"/>
        <w:gridCol w:w="183"/>
        <w:gridCol w:w="109"/>
        <w:gridCol w:w="109"/>
        <w:gridCol w:w="109"/>
        <w:gridCol w:w="333"/>
        <w:gridCol w:w="817"/>
        <w:gridCol w:w="184"/>
        <w:gridCol w:w="109"/>
        <w:gridCol w:w="109"/>
        <w:gridCol w:w="109"/>
        <w:gridCol w:w="196"/>
        <w:gridCol w:w="481"/>
        <w:gridCol w:w="162"/>
      </w:tblGrid>
      <w:tr>
        <w:trPr/>
        <w:tc>
          <w:tcPr>
            <w:tcW w:w="110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4"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 millions)</w:t>
            </w:r>
          </w:p>
        </w:tc>
      </w:tr>
      <w:tr>
        <w:trPr/>
        <w:tc>
          <w:tcPr>
            <w:tcW w:w="3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amount maturing under</w:t>
            </w:r>
          </w:p>
        </w:tc>
      </w:tr>
      <w:tr>
        <w:trPr/>
        <w:tc>
          <w:tcPr>
            <w:tcW w:w="3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 Facility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 Term Loan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 Term Loan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 Term Loan 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 (excluding the six months ended June 30, 2026)</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304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2.6</w:t>
            </w:r>
            <w:r>
              <w:rPr>
                <w:color w:val="000000"/>
              </w:rPr>
              <w:t> </w:t>
            </w:r>
          </w:p>
        </w:tc>
        <w:tc>
          <w:tcPr>
            <w:tcW w:w="1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4.5</w:t>
            </w:r>
            <w:r>
              <w:rPr>
                <w:color w:val="000000"/>
              </w:rPr>
              <w:t> </w:t>
            </w:r>
          </w:p>
        </w:tc>
        <w:tc>
          <w:tcPr>
            <w:tcW w:w="2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14.3</w:t>
            </w:r>
            <w:r>
              <w:rPr>
                <w:color w:val="000000"/>
              </w:rPr>
              <w:t> </w:t>
            </w:r>
          </w:p>
        </w:tc>
        <w:tc>
          <w:tcPr>
            <w:tcW w:w="1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20.9</w:t>
            </w:r>
            <w:r>
              <w:rPr>
                <w:color w:val="000000"/>
              </w:rPr>
              <w:t> </w:t>
            </w:r>
          </w:p>
        </w:tc>
        <w:tc>
          <w:tcPr>
            <w:tcW w:w="1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42.2</w:t>
            </w:r>
            <w:r>
              <w:rPr>
                <w:color w:val="000000"/>
              </w:rPr>
              <w:t>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sets forth a reconciliation of cash and cash equivalents at period-end to net debt at period-end. </w:t>
      </w:r>
    </w:p>
    <w:tbl>
      <w:tblPr>
        <w:tblW w:w="8154" w:type="dxa"/>
        <w:jc w:val="left"/>
        <w:tblInd w:w="0" w:type="dxa"/>
        <w:tblLayout w:type="fixed"/>
        <w:tblCellMar>
          <w:top w:w="28" w:type="dxa"/>
          <w:left w:w="28" w:type="dxa"/>
          <w:bottom w:w="28" w:type="dxa"/>
          <w:right w:w="28" w:type="dxa"/>
        </w:tblCellMar>
      </w:tblPr>
      <w:tblGrid>
        <w:gridCol w:w="1337"/>
        <w:gridCol w:w="1173"/>
        <w:gridCol w:w="1180"/>
        <w:gridCol w:w="288"/>
        <w:gridCol w:w="707"/>
        <w:gridCol w:w="160"/>
        <w:gridCol w:w="109"/>
        <w:gridCol w:w="109"/>
        <w:gridCol w:w="109"/>
        <w:gridCol w:w="257"/>
        <w:gridCol w:w="710"/>
        <w:gridCol w:w="143"/>
        <w:gridCol w:w="109"/>
        <w:gridCol w:w="109"/>
        <w:gridCol w:w="109"/>
        <w:gridCol w:w="340"/>
        <w:gridCol w:w="938"/>
        <w:gridCol w:w="267"/>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Cash and cash equivalents as of end of period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36.9</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Notes payable, long-term, net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(32.3)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Notes payable, current portion, net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(9.9)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debt, net</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(42.2)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(52.0)</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(47.0)</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Net debt at period-end</w:t>
            </w:r>
          </w:p>
        </w:tc>
        <w:tc>
          <w:tcPr>
            <w:tcW w:w="2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(5.2)</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(42.2)</w:t>
            </w:r>
          </w:p>
        </w:tc>
        <w:tc>
          <w:tcPr>
            <w:tcW w:w="1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(26.6)</w:t>
            </w:r>
          </w:p>
        </w:tc>
        <w:tc>
          <w:tcPr>
            <w:tcW w:w="2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rPr>
        <w:t xml:space="preserve">This reconciliation includes other debt and unamortized issuance costs along with the Bank Credit Facilities. See </w:t>
      </w:r>
      <w:r>
        <w:rPr>
          <w:rFonts w:ascii="Times New Roman;serif" w:hAnsi="Times New Roman;serif"/>
          <w:b w:val="false"/>
          <w:i/>
          <w:color w:val="000000"/>
          <w:sz w:val="20"/>
        </w:rPr>
        <w:t>Note 6. Notes Payable</w:t>
      </w:r>
      <w:r>
        <w:rPr>
          <w:color w:val="000000"/>
        </w:rPr>
        <w:t xml:space="preserve"> </w:t>
      </w:r>
      <w:r>
        <w:rPr>
          <w:rFonts w:ascii="Times New Roman;serif" w:hAnsi="Times New Roman;serif"/>
          <w:b w:val="false"/>
          <w:color w:val="000000"/>
          <w:sz w:val="20"/>
        </w:rPr>
        <w:t>for more detail.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Contingent Obligations </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Earnout obligations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part of the typical structure of our acquisition of new member companies, we commit to making certain earnout payments. These earnout payments are based on a profit-driven formula and only materialize if the acquired company realizes profit growth after the date of completion. Payments are typically made in a mix of cash and shares. In turn, each of the components of earnout payments may be subject to further vesting requirements and employment conditions, which keeps the recipients financially committed to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relation to these earnout payments, as of June 30, 2026, we have recorded liabilities of $27.6 million on our balance sheet, spread across the line items Contingent Consideration and Other Liabilities. This number reflects both the estimated foreseen nominal payments, and also discount factors, probability of reaching goals, and fair value estimates. In nominal terms, over the period 2026-2030, based on expected performance of each of the acquired companies, we anticipate having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pPr>
      <w:r>
        <w:rPr>
          <w:rFonts w:ascii="Times New Roman;serif" w:hAnsi="Times New Roman;serif"/>
          <w:b w:val="false"/>
          <w:color w:val="000000"/>
          <w:sz w:val="20"/>
        </w:rPr>
        <w:t xml:space="preserve">to make earnout payments of $64.9 million, of which $35.3 million would be payable in cash, and the remainder in shares. The maximum earnout liability over that same period, which would only be reached if each acquisition meets very aggressive profit growth targets, would be $123.3 million, of which $70.7 million would be payable in cash, and the remainder in shares. Generally, in order for an acquisition to reach maximum earnout payments, it would need to grow its profit by 25-30% annually during the earnout period. For more information, see </w:t>
      </w:r>
      <w:r>
        <w:rPr>
          <w:rFonts w:ascii="Times New Roman;serif" w:hAnsi="Times New Roman;serif"/>
          <w:b w:val="false"/>
          <w:i/>
          <w:color w:val="000000"/>
          <w:sz w:val="20"/>
        </w:rPr>
        <w:t>Note 9. Fair Value Measurement</w:t>
      </w:r>
      <w:r>
        <w:rPr>
          <w:rFonts w:ascii="Times New Roman;serif" w:hAnsi="Times New Roman;serif"/>
          <w:b w:val="false"/>
          <w:color w:val="000000"/>
          <w:sz w:val="16"/>
        </w:rPr>
        <w: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Revisions to these expectations, relative to those reported in prior periods, are attributable to the execution of actual earnout payments as well as to modifications in the financial forecasts of the acquired companies.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summarizes nominal earnout expectations: </w:t>
      </w:r>
    </w:p>
    <w:tbl>
      <w:tblPr>
        <w:tblW w:w="10205" w:type="dxa"/>
        <w:jc w:val="left"/>
        <w:tblInd w:w="0" w:type="dxa"/>
        <w:tblLayout w:type="fixed"/>
        <w:tblCellMar>
          <w:top w:w="28" w:type="dxa"/>
          <w:left w:w="28" w:type="dxa"/>
          <w:bottom w:w="28" w:type="dxa"/>
          <w:right w:w="28" w:type="dxa"/>
        </w:tblCellMar>
      </w:tblPr>
      <w:tblGrid>
        <w:gridCol w:w="842"/>
        <w:gridCol w:w="740"/>
        <w:gridCol w:w="746"/>
        <w:gridCol w:w="333"/>
        <w:gridCol w:w="691"/>
        <w:gridCol w:w="186"/>
        <w:gridCol w:w="109"/>
        <w:gridCol w:w="109"/>
        <w:gridCol w:w="109"/>
        <w:gridCol w:w="196"/>
        <w:gridCol w:w="466"/>
        <w:gridCol w:w="109"/>
        <w:gridCol w:w="109"/>
        <w:gridCol w:w="109"/>
        <w:gridCol w:w="109"/>
        <w:gridCol w:w="196"/>
        <w:gridCol w:w="481"/>
        <w:gridCol w:w="109"/>
        <w:gridCol w:w="109"/>
        <w:gridCol w:w="109"/>
        <w:gridCol w:w="109"/>
        <w:gridCol w:w="196"/>
        <w:gridCol w:w="466"/>
        <w:gridCol w:w="109"/>
        <w:gridCol w:w="109"/>
        <w:gridCol w:w="109"/>
        <w:gridCol w:w="109"/>
        <w:gridCol w:w="196"/>
        <w:gridCol w:w="466"/>
        <w:gridCol w:w="109"/>
        <w:gridCol w:w="109"/>
        <w:gridCol w:w="109"/>
        <w:gridCol w:w="109"/>
        <w:gridCol w:w="196"/>
        <w:gridCol w:w="391"/>
        <w:gridCol w:w="109"/>
        <w:gridCol w:w="109"/>
        <w:gridCol w:w="109"/>
        <w:gridCol w:w="109"/>
        <w:gridCol w:w="196"/>
        <w:gridCol w:w="556"/>
        <w:gridCol w:w="158"/>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7" w:type="dxa"/>
            <w:gridSpan w:val="3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 in millions)</w:t>
            </w:r>
          </w:p>
        </w:tc>
      </w:tr>
      <w:tr>
        <w:trPr/>
        <w:tc>
          <w:tcPr>
            <w:tcW w:w="2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Expected earnout payments in Cash</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0.9</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35.3</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Expected earnout payments in PPHC stock</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29.6</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Expected earnout payments - total</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0.9</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64.9</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Maximum earnout payments in Cash</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Maximum earnout payments in PPHC stock</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Maximum earnout payments - total</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expect that our contingent obligations may evolve over time in response to current business and market conditions, with the result that future amounts due may differ considerably from the expected amounts payable set out in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Off-Balance Sheet Arrangements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we had no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a more complete understanding of our accounting estimates and policies, the unaudited consolidated financial statements and the related Management's Discussion and Analysis of Financial Condition and Results of Operations, readers are encouraged to consider this information together with our discussion of our critical accounting policies under the heading, "Management's Discussion and Analysis of Financial Condition and Results of Operations"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Business Acquisitions and Valuation of Contingent Consideration and Post-Combination Liabilities</w:t>
      </w:r>
    </w:p>
    <w:p>
      <w:pPr>
        <w:pStyle w:val="TextBody"/>
        <w:bidi w:val="0"/>
        <w:spacing w:lineRule="auto" w:line="288" w:before="0" w:after="180"/>
        <w:jc w:val="left"/>
        <w:rPr/>
      </w:pPr>
      <w:r>
        <w:rPr>
          <w:rFonts w:ascii="Times New Roman;serif" w:hAnsi="Times New Roman;serif"/>
          <w:b w:val="false"/>
          <w:color w:val="000000"/>
          <w:sz w:val="20"/>
        </w:rPr>
        <w:t xml:space="preserve">The Company accounts for business acquisitions using the acquisition method. Under ASC 805 - </w:t>
      </w:r>
      <w:r>
        <w:rPr>
          <w:rFonts w:ascii="Times New Roman;serif" w:hAnsi="Times New Roman;serif"/>
          <w:b w:val="false"/>
          <w:i/>
          <w:color w:val="000000"/>
          <w:sz w:val="20"/>
        </w:rPr>
        <w:t>Business Combinations</w:t>
      </w:r>
      <w:r>
        <w:rPr>
          <w:rFonts w:ascii="Times New Roman;serif" w:hAnsi="Times New Roman;serif"/>
          <w:b w:val="false"/>
          <w:color w:val="000000"/>
          <w:sz w:val="20"/>
        </w:rPr>
        <w:t xml:space="preserve">, a business combination occurs when an entity obtains control of a “business.” The Company determines whether or not the gross assets acquired meet the definition of a business. If they meet this criteria, the Company accounts for the transaction as a business acquisition. If they do not meet this criteria the transaction is accounted for as an asset acquisition. The consideration transferred in the acquisition is generally measured at fair value, as are the identifiable net assets acquired. Any goodwill that arises is tested annually for impairment. Any gain on a bargain purchase is recognized in profit or loss immediately. Transaction costs are expensed as incurred, except if related to the issuance of debt or equity securities.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Contingent consideration is measured at fair value at the date of acquisition and is based on expected cash flow of the acquisition target discounted over time using an observable market discount rate. The Company generally utilizes outside valuation experts to determine the amount of contingent consideration. We estimate and record the acquisition date fair value of contingent consideration as part of purchase price consideration for business acquisitions. Additionally, each reporting period, we estimate changes in the fair value of contingent consideration and recognize any change in fair value in our consolidated statements of operations and other comprehensive loss. The fair value of the contingent consideration is generally measured using Monte Carlo simulations to estimate the achievement and amount of certain future operating results. The Monte Carlo simulations utilize subjective assumptions and estimates including expected volatility of future operating results, discount rates applicable to future results, and expected growth rates. Future revisions to these assumptions could materially change the estimate of the fair value of contingent consideration and, therefore, materially affect our future financial results. The contingent consideration liability is to be settled through a combination of cash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pPr>
      <w:r>
        <w:rPr>
          <w:rFonts w:ascii="Times New Roman;serif" w:hAnsi="Times New Roman;serif"/>
          <w:b w:val="false"/>
          <w:color w:val="000000"/>
          <w:sz w:val="20"/>
        </w:rPr>
        <w:t>shares of common stock based on each respective purchase agreement and the amount ultimately paid is dependent on the achievement of certain future operating results. During the three and six months ended June 30, 2026 and 2025, the Company recorded a loss from the change of fair value of contingent consideration of $0.9 million</w:t>
      </w:r>
      <w:r>
        <w:rPr>
          <w:rFonts w:ascii="Times New Roman;serif" w:hAnsi="Times New Roman;serif"/>
          <w:b w:val="false"/>
          <w:color w:val="000000"/>
          <w:sz w:val="18"/>
        </w:rPr>
        <w:t xml:space="preserve">, </w:t>
      </w:r>
      <w:r>
        <w:rPr>
          <w:rFonts w:ascii="Times New Roman;serif" w:hAnsi="Times New Roman;serif"/>
          <w:b w:val="false"/>
          <w:color w:val="000000"/>
          <w:sz w:val="20"/>
        </w:rPr>
        <w:t>$7.2 million, $1.7 million, and $2.7 million, respectively, which are included in operating expenses on the accompanying consolidated statement of operations.</w:t>
      </w:r>
    </w:p>
    <w:p>
      <w:pPr>
        <w:pStyle w:val="TextBody"/>
        <w:bidi w:val="0"/>
        <w:spacing w:lineRule="auto" w:line="288" w:before="0" w:after="180"/>
        <w:jc w:val="left"/>
        <w:rPr/>
      </w:pPr>
      <w:r>
        <w:rPr>
          <w:rFonts w:ascii="Times New Roman;serif" w:hAnsi="Times New Roman;serif"/>
          <w:b w:val="false"/>
          <w:color w:val="000000"/>
          <w:sz w:val="20"/>
        </w:rPr>
        <w:t xml:space="preserve">Furthermore, the contractual purchase price of business acquisitions may include future payments to the seller that are not accounted for under ASC 805 -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 xml:space="preserve">due to the existence of contractual vesting periods or claw-backs. Such future payments are generally recorded as liabilities of the Company. When a component of the contractual purchase price of an acquired business is determined not to be consideration transferred in exchange for the business, and should therefore be accounted for as a separate transaction (such as compensation costs), the Company may, on occasion, recognize a gain on bargain purchase price because the accounting purchase price is not inclusive of such a separate component of the contractual purchase price when being compared to the fair value of the identifiable net assets of the acquired business which, in some cases, may result in the fair value of the identifiable net assets being in excess of the fair value of the purchase price consideration.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records post-combination business expense over the vesting or claw-back period applicable for these future payments on a straight-line basis with the amount accrued recorded as other liability. The future earnout payments that have vesting or claw-back rights tied to employment will reduce the amount of the other liability when paid. The fair value of other liabilities is measured using the same Monte Carlo simulation with the same assumptions and inputs as outlined above for contingent consideration liabilities. The fair value of post-combination compensation obligations is remeasured at each reporting date, any changes in fair value are reflected as a cumulative catch up to post-combination compensation expense in the period in which the remeasurement occurred.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Goodwill and Indefinite-lived Intangible Assets</w:t>
      </w:r>
    </w:p>
    <w:p>
      <w:pPr>
        <w:pStyle w:val="TextBody"/>
        <w:bidi w:val="0"/>
        <w:spacing w:lineRule="auto" w:line="288" w:before="0" w:after="180"/>
        <w:jc w:val="left"/>
        <w:rPr/>
      </w:pPr>
      <w:r>
        <w:rPr>
          <w:rFonts w:ascii="Times New Roman;serif" w:hAnsi="Times New Roman;serif"/>
          <w:b w:val="false"/>
          <w:color w:val="000000"/>
          <w:sz w:val="20"/>
        </w:rPr>
        <w:t xml:space="preserve">Goodwill represents the excess of the purchase price in a business combination over the fair value of the net tangible and intangible assets acquired and the indefinite-lived intangible assets which consists of trademarks. In accordance with ASC 350 - </w:t>
      </w:r>
      <w:r>
        <w:rPr>
          <w:rFonts w:ascii="Times New Roman;serif" w:hAnsi="Times New Roman;serif"/>
          <w:b w:val="false"/>
          <w:i/>
          <w:color w:val="000000"/>
          <w:sz w:val="20"/>
        </w:rPr>
        <w:t>Intangibles - Goodwill and Other</w:t>
      </w:r>
      <w:r>
        <w:rPr>
          <w:rFonts w:ascii="Times New Roman;serif" w:hAnsi="Times New Roman;serif"/>
          <w:b w:val="false"/>
          <w:color w:val="000000"/>
          <w:sz w:val="20"/>
        </w:rPr>
        <w:t xml:space="preserve">, goodwill and indefinite-lived intangible assets are not amortized but tested for impairment annually and whenever events or changes in circumstances indicate that the carrying value of an asset may not be recoverable. We test our goodwill and indefinite-lived intangible assets for impairment annually on October 1st using the qualitative assessment. The process of evaluating the potential impairment is highly subjective and requires the application of significant judgment. We first assess whether there are qualitative factors which would indicate that it is more likely than not that the fair value of a reporting unit is less than its carrying value. We consider events and circumstances such as, but not limited to, macroeconomic conditions, industry and market conditions, our overall financial performance, and other relevant entity-specific events. If the qualitative assessment indicates that the fair value of the reporting unit is less than its carrying amount, a quantitative assessment is performed.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Intangible Assets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definite-lived intangible assets consist of customer relationships, developed technology and non-compete agreements that have been acquired through various acquisitions. Our indefinite lived assets consist of trademarks that have been acquired through various acquisitions. The Company generally utilizes third-party specialists to determine the fair value of acquired intangible assets. The valuation of these assets involves significant judgment and the use of valuation techniques such as the multi-period excess earnings method and the with-and-without method. These models require management to make assumptions about future revenue growth, customer attrition, operating margins, contributory asset charges, and discount rates. Changes in these assumptions could materially affect the fair value assigned to the intangible assets and the related amortization expense.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amortize these assets over their estimated useful lives. Long-lived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for an amount by which the carrying amount of the asset exceeds the fair value of the asset.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Long-term incentive program charges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awards issued under the Company’s long-term incentive program are estimated using a Black-Scholes option-pricing model on the grant date which requires subjective inputs. The inputs of the option-pricing model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include the fair market value of our common stock based on the closing price as reported on the date of the grant on the AIM, estimated dividend yield, expected stock price volatility and risk-free interest rate. The amortization of the fair value of share-based awards is recorded as an expense in the statement of operations either within salaries and other personnel costs within cost of services or to general and administrative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risks from interest rates, which could affect our operating results, financial position and cash flows. We manage this risk through our regular operating activities.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exposed to interest rate risk on borrowings under our Bank Credit Facilities. The interest rate under the 2023 Facilities is the Secured Overnight Financing Rate (“SOFR”) as administered by the Federal Reserve Bank of New York, plus 2.25% per annum. The interest rate under the 2024 Term Loans is SOFR plus 2.60% per annum, and the interest rate under the 2025 Term Loan C is SOFR plus 2.60% per annum. Interest is payable monthly. A 100 basis-point increase in Bank Credit Facilities debt balances outstanding as of June 30, 2026 would increase our annual interest expense by $0.4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required by Rule 13a-15 under the Exchange Act, we carried out an evaluation of the effectiveness of our disclosure controls and procedures as of June 30, 2026. This evaluation was carried out under the supervision and with the participation of management, including our Chief Executive Officer and Chief Financial Officer.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Based on that evaluation, our Chief Executive Officer and Chief Financial Officer have concluded that our disclosure controls and procedures as of the end of the period covered by this Quarterly Report on Form 10-Q are effective at a reasonable assurance level in ensuring that information required to be disclosed in our Exchange Act reports is (1) recorded, processed, summarized and reported in a timely manner and (2) accumulated and communicated to our management, including our Chief Executive Officer and Chief Financial Officer, as appropriate to allow timely decisions regarding required disclosure. Our management, including our Chief Executive Officer and Chief Financial Officer,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previously disclosed, when preparing the December 31, 2024 financial statements, we identified a material weakness in our internal control over financial reporting. Specifically, we determined that certain aspects of our control environment were not operating at the level of effectiveness required, in part due to an insufficient complement of qualified technical accounting and financial reporting personnel to consistently perform control activities, in particular those involving complex and/or non-routine transactions.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Throughout the year ended December 31, 2025, management implemented remediation actions to address this material weakness, including expanding and improving review processes, improving access to technical accounting resources, and supplementing the team with additional personnel possessing relevant experience and training. Despite these remediation efforts during the year ended December 31, 2025, management identified additional control deficiencies related to the accounting for certain transactions that, while more routine in nature than those previously identified, still required an appropriate level of judgment, technical analysis and review through the current period covered by this Quarterly Report on Form 10-Q. These deficiencies indicate that the material weakness identified in the prior year had not been fully remediated as of December 31, 2025 and has not been fully remediated as of the end of June 30, 2026.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Management has implemented and continues to refine measures designed to remediate the control deficiencies contributing to the material weakness. However, these remediation measures need to be operating effectively for a sufficient period of time to be considered appropriately remediated.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Management’s Annual Report on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does not include a report of management’s assessment regarding internal control over financial reporting or an attestation report of the company’s registered public accounting firm due to a transition period established by rules of the SEC for newly public companies.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 than the remediation measures in regard to the material weakness mentioned above, there were no changes to our internal controls over financial reporting during the most recent fiscal quarter that have materially affected, or that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the date of this Quarterly Report on Form 10-Q, we are not a party to any material pending legal proceedings, nor are we aware of any civil proceeding or government authority contemplating any material legal proceeding, and to our knowledge, no such proceedings by or against the Company have been threatened. We anticipate that we and our subsidiaries may from time to time in the future become subject to claims and legal proceedings arising in the ordinary course of business. It is not feasible to predict the outcome of any such proceedings, and we cannot assure that their ultimate disposition will not have a materially adverse effect on our business, financial condition, cash flows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disclosed in Item 1A in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April 1 2026, we issued 46,937 shares of common stock to a seller as initial consideration for the acquisition of all of the outstanding share capital of Westminster Policy Partners Limited, in reliance on the exemption provided in Rule 506(b) under the Securities 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May 1, 2026, we issued 21,996 shares of common stock to a seller as initial consideration for the acquisition of the assets of Cowen Consulting, LLC and Putman Strategies, LLC, in reliance on the exemption provided in Rule 506(b)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29, 2026, the Company consummated its 2026 U.S. IPO of 4,150,000 shares of the Company’s common stock, comprising of 3,400,000 newly issued shares of common stock and 750,000 shares of existing common stock (together the “Shares”) sold by, respectively, the Company and certain shareholders of the Company (the “Selling Shareholders”). The Shares were sold at a price of $12.25 per Share, generating gross proceeds to the Company of $41.7 million and gross proceeds to the Selling Shareholders of $9.2 million. On March 2, 2026, the Company announced the issue of 342,500 new shares of common stock, pursuant to the partial exercise of the over-allotment option granted to the underwriters in connection with the Company's 2026 U.S. IPO and admission to the Nasdaq Global Market in January 2026.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2026 U.S. IPO, the Company entered into an underwriting agreement (the “Underwriting Agreement”), dated January 27, 2026, by and among the Company, the selling shareholders listed therein and Oppenheimer &amp; Co. Inc. and Canaccord Genuity LLC, as representative of the underwriters, a form of which was previously filed as an exhibit to the Company’s Registration Statement on Form S-1 (File No. 333-290834) initially filed with the SEC on October 10, 2025, and subsequently amended (as amended, the “Registration Statement”). The Underwriting Agreement contains customary representations, warranties, covenants and agreements by the Company, customary conditions to closing, indemnification obligations of the Company and the underwriters, including for liabilities under the Securities Act, certain other obligations of the parties and termination provisions.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gross proceeds to us from the sale of shares of our common stock in our 2026 U.S. IPO was $45.8 million. This is calculated based on the initial public offering price of $12.25 per Share and includes the gross proceeds received by us from the underwriters’ exercise of their over-allotment option to purchase additional shares.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received net proceeds from the 2026 U.S. IPO of approximately $35.8 million (including shares sold upon the underwriters' partial exercise of their over-allotment option), after deducting underwriting discounts of $3.0 million and offering expenses of $7.1 million. No payments for such expenses were made directly or indirectly to (i) any of our officers or directors or their associates, (ii) any persons owning 10% or more of any class of our equity securities, or (iii) any of our affiliates.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use the proceeds to the Company from our 2026 U.S. IPO to fund working capital and for general corporate purposes, potentially including future acquisitions of new portfolio companies. We did not receive any proceeds from the sale of common stock by the selling shareholders.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Repurchases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2722"/>
        <w:gridCol w:w="2613"/>
        <w:gridCol w:w="3702"/>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r>
      <w:tr>
        <w:trPr/>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Second Amended and Restated Certificate of Incorporation of Public Policy Holding Company, Inc. (incorporated by reference to Exhibit 3.1 to the Company’s Registration Statement on Form S-1, filed with the SEC on October 10, 2025, File No. 333-290834).</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Second Amended and Restated Bylaws of Public Policy Holding Company, Inc. (incorporated by reference to Exhibit 3.2 to the Company’s Annual Report on Form 10-K, filed with the SEC on March 31, 2026, File No. 001-43077).</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q22026.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q22026.htm">
              <w:r>
                <w:rPr>
                  <w:rStyle w:val="InternetLink"/>
                  <w:rFonts w:ascii="Times New Roman;serif" w:hAnsi="Times New Roman;serif"/>
                  <w:b w:val="false"/>
                  <w:color w:val="0000FF"/>
                  <w:sz w:val="20"/>
                  <w:u w:val="single"/>
                </w:rPr>
                <w:t>Certification of Chief Executive Officer pursuant to Rule 13a-14(a) or 15d-14(a) of the Securities Exchange Act of 1934, as amended, as adopted pursuant to Section 302 of the Sarbanes-Oxley Act of 2002.</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2q22026.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2q22026.htm">
              <w:r>
                <w:rPr>
                  <w:rStyle w:val="InternetLink"/>
                  <w:rFonts w:ascii="Times New Roman;serif" w:hAnsi="Times New Roman;serif"/>
                  <w:b w:val="false"/>
                  <w:color w:val="0000FF"/>
                  <w:sz w:val="20"/>
                  <w:u w:val="single"/>
                </w:rPr>
                <w:t>Certification of Chief Financial Officer pursuant to Rule 13a-14(a) or 15d-14(a) of the Securities Exchange Act of 1934, as amended, as adopted pursuant to Section 302 of the Sarbanes-Oxley Act of 2002.</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1q22026.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1q22026.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2q22026.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2q22026.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PPHC, Inc.'s Quarterly Report on Form 10-Q for the quarter ended June 30, 2026 formatted in Inline XBRL (Extensible Business Reporting Language) includes: (i) the Condensed Consolidated Balance Sheets, (ii) the Condensed Consolidated Statements of Operations and Comprehensive Loss, (iii) the Condensed Consolidated Statements of Shareholders' Equity, (iv) the Condensed Consolidated Statements of Cash Flows, and (v) Notes to Consolidated Financial Statements.</w:t>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(formatted as Inline XBRL and contained in Exhibit 101).</w:t>
            </w:r>
          </w:p>
        </w:tc>
      </w:tr>
    </w:tbl>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180"/>
        <w:jc w:val="center"/>
        <w:rPr/>
      </w:pPr>
      <w:r>
        <w:rPr/>
      </w:r>
    </w:p>
    <w:p>
      <w:pPr>
        <w:pStyle w:val="TextBody"/>
        <w:bidi w:val="0"/>
        <w:spacing w:before="0" w:after="12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631" w:type="dxa"/>
        <w:jc w:val="left"/>
        <w:tblInd w:w="0" w:type="dxa"/>
        <w:tblLayout w:type="fixed"/>
        <w:tblCellMar>
          <w:top w:w="28" w:type="dxa"/>
          <w:left w:w="28" w:type="dxa"/>
          <w:bottom w:w="28" w:type="dxa"/>
          <w:right w:w="28" w:type="dxa"/>
        </w:tblCellMar>
      </w:tblPr>
      <w:tblGrid>
        <w:gridCol w:w="158"/>
        <w:gridCol w:w="138"/>
        <w:gridCol w:w="138"/>
        <w:gridCol w:w="449"/>
        <w:gridCol w:w="449"/>
        <w:gridCol w:w="451"/>
        <w:gridCol w:w="1492"/>
        <w:gridCol w:w="1492"/>
        <w:gridCol w:w="1515"/>
        <w:gridCol w:w="393"/>
        <w:gridCol w:w="393"/>
        <w:gridCol w:w="563"/>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By: </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Signature</w:t>
            </w:r>
          </w:p>
        </w:tc>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Title</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Date</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Roeland Smits</w:t>
            </w:r>
          </w:p>
        </w:tc>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Chief Financial Officer</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11, 2026</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Roeland Smits</w:t>
            </w:r>
          </w:p>
        </w:tc>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(Principal Accounting Officer and Principal Financial Officer)</w:t>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 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George Stewart Hall, certify that: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Public Policy Holding Company, Inc.;</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b)Intentionally omitted;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hanging="581"/>
        <w:jc w:val="left"/>
        <w:rPr>
          <w:color w:val="000000"/>
        </w:rPr>
      </w:pPr>
      <w:r>
        <w:rPr>
          <w:color w:val="000000"/>
        </w:rPr>
        <w:t> </w:t>
      </w:r>
    </w:p>
    <w:tbl>
      <w:tblPr>
        <w:tblW w:w="5155"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34"/>
        <w:gridCol w:w="134"/>
        <w:gridCol w:w="136"/>
        <w:gridCol w:w="725"/>
        <w:gridCol w:w="725"/>
        <w:gridCol w:w="102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 George Stewart Hall</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George Stewart Hall</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Chief Executive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lineRule="auto" w:line="288" w:before="240" w:after="283"/>
        <w:jc w:val="left"/>
        <w:rPr>
          <w:color w:val="000000"/>
        </w:rPr>
      </w:pPr>
      <w:r>
        <w:rPr>
          <w:color w:val="000000"/>
        </w:rPr>
        <w:t> </w:t>
      </w:r>
    </w:p>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 Certification)</w: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I, Roeland Smits, certify that: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Public Policy Holding Company, Inc.;</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b)Intentionally omitted;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hanging="581"/>
        <w:jc w:val="left"/>
        <w:rPr>
          <w:color w:val="000000"/>
        </w:rPr>
      </w:pPr>
      <w:r>
        <w:rPr>
          <w:color w:val="000000"/>
        </w:rPr>
        <w:t> </w:t>
      </w:r>
    </w:p>
    <w:tbl>
      <w:tblPr>
        <w:tblW w:w="7826"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34"/>
        <w:gridCol w:w="134"/>
        <w:gridCol w:w="136"/>
        <w:gridCol w:w="1507"/>
        <w:gridCol w:w="1507"/>
        <w:gridCol w:w="213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5"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 Roeland Smits</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Roeland Smits</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Chief Financial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 and Principal Financial Officer)</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1350 Certification)</w:t>
      </w:r>
    </w:p>
    <w:p>
      <w:pPr>
        <w:pStyle w:val="TextBody"/>
        <w:bidi w:val="0"/>
        <w:spacing w:lineRule="auto" w:line="288" w:before="240" w:after="283"/>
        <w:ind w:left="0" w:right="0" w:firstLine="55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Public Policy Holding Company, Inc. (the “Company”) for the quarter ended June 30, 2026 (the “Quarterly Report”), and pursuant to 18 U.S.C. Section 1350, as adopted pursuant to Section 906 of the Sarbanes-Oxley Act of 2002, the undersigned, George Stewart Hall, Chief Executive Officer of the Company, certifies, to the best of his knowledge,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Quarterly Report fully complies with the requirements of Section 13(a) or 15(d) of the Securities Exchange Act of 1934, as amended (the “Exchange Act”);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Quarterly Report fairly presents, in all material respects, the financial condition and results of operations of the Company.</w:t>
      </w:r>
    </w:p>
    <w:p>
      <w:pPr>
        <w:pStyle w:val="TextBody"/>
        <w:bidi w:val="0"/>
        <w:spacing w:lineRule="auto" w:line="288" w:before="0" w:after="0"/>
        <w:ind w:left="0" w:right="0" w:hanging="581"/>
        <w:jc w:val="left"/>
        <w:rPr>
          <w:color w:val="000000"/>
        </w:rPr>
      </w:pPr>
      <w:r>
        <w:rPr>
          <w:color w:val="000000"/>
        </w:rPr>
        <w:t> </w:t>
      </w:r>
    </w:p>
    <w:tbl>
      <w:tblPr>
        <w:tblW w:w="5155"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34"/>
        <w:gridCol w:w="134"/>
        <w:gridCol w:w="136"/>
        <w:gridCol w:w="725"/>
        <w:gridCol w:w="725"/>
        <w:gridCol w:w="102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 George Stewart Hall</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George Stewart Hall</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Chief Executive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to accompany the Quarterly Report pursuant to 18 U.S.C. Section 1350, and is not being filed for purposes of Section 18 of the Exchange Act,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1350 Certification)</w:t>
      </w:r>
    </w:p>
    <w:p>
      <w:pPr>
        <w:pStyle w:val="TextBody"/>
        <w:bidi w:val="0"/>
        <w:spacing w:lineRule="auto" w:line="288" w:before="240" w:after="283"/>
        <w:ind w:left="0" w:right="0" w:firstLine="55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Public Policy Holding Company, Inc. (the “Company”) for the quarter ended June 30, 2026 (the “Quarterly Report”), and pursuant to 18 U.S.C. Section 1350, as adopted pursuant to Section 906 of the Sarbanes-Oxley Act of 2002, the undersigned, Roeland Smits, Chief Financial Officer of the Company, certifies, to the best of his knowledge,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Quarterly Report fully complies with the requirements of Section 13(a) or 15(d) of the Securities Exchange Act of 1934, as amended (the “Exchange Act”);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Quarterly Report fairly presents, in all material respects, the financial condition and results of operations of the Company.</w:t>
      </w:r>
    </w:p>
    <w:p>
      <w:pPr>
        <w:pStyle w:val="TextBody"/>
        <w:bidi w:val="0"/>
        <w:spacing w:lineRule="auto" w:line="288" w:before="0" w:after="0"/>
        <w:ind w:left="0" w:right="0" w:hanging="581"/>
        <w:jc w:val="left"/>
        <w:rPr>
          <w:color w:val="000000"/>
        </w:rPr>
      </w:pPr>
      <w:r>
        <w:rPr>
          <w:color w:val="000000"/>
        </w:rPr>
        <w:t> </w:t>
      </w:r>
    </w:p>
    <w:tbl>
      <w:tblPr>
        <w:tblW w:w="7826"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34"/>
        <w:gridCol w:w="134"/>
        <w:gridCol w:w="136"/>
        <w:gridCol w:w="1507"/>
        <w:gridCol w:w="1507"/>
        <w:gridCol w:w="213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5"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 Roeland Smits</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Roeland Smits</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Chief Financial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 and Principal Financial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to accompany the Quarterly Report pursuant to 18 U.S.C. Section 1350, and is not being filed for purposes of Section 18 of the Exchange Act,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03508/000162828025044817/exhibit31-sx1.htm" TargetMode="External"/><Relationship Id="rId3" Type="http://schemas.openxmlformats.org/officeDocument/2006/relationships/hyperlink" Target="https://www.sec.gov/Archives/edgar/data/1903508/000162828025044817/exhibit31-sx1.htm" TargetMode="External"/><Relationship Id="rId4" Type="http://schemas.openxmlformats.org/officeDocument/2006/relationships/hyperlink" Target="https://www.sec.gov/Archives/edgar/data/1903508/000162828026022359/exhibit32.htm" TargetMode="External"/><Relationship Id="rId5" Type="http://schemas.openxmlformats.org/officeDocument/2006/relationships/hyperlink" Target="https://www.sec.gov/Archives/edgar/data/1903508/000162828026022359/exhibit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24999</Words>
  <Characters>136234</Characters>
  <CharactersWithSpaces>158223</CharactersWithSpaces>
  <Paragraphs>4999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